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Calibri" w:hAnsi="Calibri"/>
          <w:sz w:val="22"/>
          <w:szCs w:val="22"/>
        </w:rPr>
      </w:pPr>
      <w:bookmarkStart w:id="0" w:name="_GoBack"/>
      <w:bookmarkEnd w:id="0"/>
      <w:r>
        <w:rPr>
          <w:rFonts w:ascii="Calibri" w:hAnsi="Calibri"/>
          <w:sz w:val="22"/>
          <w:szCs w:val="22"/>
        </w:rPr>
        <w:t>ANNEXES</w:t>
      </w:r>
    </w:p>
    <w:p>
      <w:pPr>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1</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3 avril 2020</w:t>
            </w:r>
          </w:p>
          <w:p>
            <w:pPr>
              <w:pStyle w:val="Sansinterligne1"/>
              <w:jc w:val="center"/>
              <w:rPr>
                <w:rFonts w:cs="Arial"/>
                <w:b/>
              </w:rPr>
            </w:pPr>
            <w:r>
              <w:rPr>
                <w:rFonts w:cs="Arial"/>
                <w:b/>
              </w:rPr>
              <w:t xml:space="preserve">+ 10 jours max. après une exclusion postérieure </w:t>
            </w:r>
          </w:p>
          <w:p>
            <w:pPr>
              <w:pStyle w:val="Sansinterligne1"/>
              <w:jc w:val="center"/>
              <w:rPr>
                <w:rFonts w:cs="Arial"/>
                <w:b/>
              </w:rPr>
            </w:pPr>
            <w:r>
              <w:rPr>
                <w:rFonts w:cs="Arial"/>
                <w:b/>
              </w:rPr>
              <w:t>et au plus tard le 15 juillet 2020 dans ce cas</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spacing w:before="120" w:after="120"/>
              <w:jc w:val="center"/>
              <w:rPr>
                <w:rFonts w:cs="Arial"/>
                <w:b/>
                <w:i/>
              </w:rPr>
            </w:pPr>
            <w:r>
              <w:rPr>
                <w:rFonts w:cs="Arial"/>
                <w:b/>
                <w:i/>
              </w:rPr>
              <w:t xml:space="preserve">Demande de DEROGATION à l’obligation de fermeture d’une OBS/OBG/année d’études </w:t>
            </w:r>
          </w:p>
          <w:p>
            <w:pPr>
              <w:pStyle w:val="Sansinterligne1"/>
              <w:spacing w:before="120" w:after="120"/>
              <w:jc w:val="center"/>
              <w:rPr>
                <w:rFonts w:cs="Arial"/>
              </w:rPr>
            </w:pPr>
            <w:r>
              <w:rPr>
                <w:rFonts w:cs="Arial"/>
                <w:b/>
                <w:i/>
              </w:rPr>
              <w:t>et/ou d’un degré</w:t>
            </w:r>
          </w:p>
        </w:tc>
      </w:tr>
    </w:tbl>
    <w:p>
      <w:pPr>
        <w:pStyle w:val="Sansinterligne1"/>
        <w:ind w:left="180"/>
        <w:jc w:val="both"/>
        <w:rPr>
          <w:rFonts w:cs="Arial"/>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r>
        <w:rPr>
          <w:rFonts w:ascii="Calibri" w:hAnsi="Calibri"/>
          <w:sz w:val="22"/>
          <w:szCs w:val="22"/>
        </w:rPr>
        <w:t>VOIR MODALITES DE LA DEMANDE VIA L’APPLICATION GOOS AU POINT 1 DE LA PRESENTE</w:t>
      </w:r>
    </w:p>
    <w:p>
      <w:pPr>
        <w:rPr>
          <w:rFonts w:ascii="Calibri" w:hAnsi="Calibri"/>
          <w:sz w:val="22"/>
          <w:szCs w:val="22"/>
        </w:rPr>
      </w:pPr>
    </w:p>
    <w:p>
      <w:pPr>
        <w:rPr>
          <w:rFonts w:ascii="Calibri" w:hAnsi="Calibri"/>
          <w:sz w:val="22"/>
          <w:szCs w:val="22"/>
        </w:rPr>
      </w:pPr>
      <w:r>
        <w:rPr>
          <w:rFonts w:ascii="Calibri" w:hAnsi="Calibri"/>
          <w:sz w:val="22"/>
          <w:szCs w:val="22"/>
        </w:rPr>
        <w:t>Il n’est plus nécessaire de transmettre le document papier à l’Administration.</w:t>
      </w:r>
    </w:p>
    <w:p>
      <w:pPr>
        <w:rPr>
          <w:rFonts w:ascii="Calibri" w:hAnsi="Calibri"/>
          <w:sz w:val="22"/>
          <w:szCs w:val="22"/>
        </w:rPr>
      </w:pPr>
    </w:p>
    <w:p>
      <w:pPr>
        <w:rPr>
          <w:rFonts w:ascii="Calibri" w:hAnsi="Calibri"/>
          <w:sz w:val="22"/>
          <w:szCs w:val="22"/>
        </w:rPr>
      </w:pPr>
      <w:r>
        <w:rPr>
          <w:rFonts w:ascii="Calibri" w:hAnsi="Calibri"/>
          <w:sz w:val="22"/>
          <w:szCs w:val="22"/>
        </w:rPr>
        <w:t>L’application vous permet de générer un document similaire à l’ancienne annexe 1 que vous devez malgré tout communiquer :</w:t>
      </w:r>
    </w:p>
    <w:p>
      <w:pPr>
        <w:pStyle w:val="Paragraphedeliste"/>
        <w:numPr>
          <w:ilvl w:val="0"/>
          <w:numId w:val="4"/>
        </w:numPr>
        <w:rPr>
          <w:rFonts w:ascii="Calibri" w:hAnsi="Calibri"/>
          <w:sz w:val="22"/>
          <w:szCs w:val="22"/>
        </w:rPr>
      </w:pPr>
      <w:r>
        <w:rPr>
          <w:rFonts w:ascii="Calibri" w:hAnsi="Calibri"/>
          <w:sz w:val="22"/>
          <w:szCs w:val="22"/>
        </w:rPr>
        <w:t>A votre organe de représentation ou au service général de l’enseignement organisé par la FWB</w:t>
      </w:r>
    </w:p>
    <w:p>
      <w:pPr>
        <w:rPr>
          <w:rFonts w:ascii="Calibri" w:hAnsi="Calibri"/>
          <w:sz w:val="22"/>
          <w:szCs w:val="22"/>
        </w:rPr>
      </w:pPr>
      <w:r>
        <w:rPr>
          <w:rFonts w:ascii="Calibri" w:hAnsi="Calibri"/>
          <w:sz w:val="22"/>
          <w:szCs w:val="22"/>
        </w:rPr>
        <w:t xml:space="preserve">  </w:t>
      </w:r>
      <w:r>
        <w:rPr>
          <w:rFonts w:ascii="Calibri" w:hAnsi="Calibri"/>
          <w:sz w:val="22"/>
          <w:szCs w:val="22"/>
        </w:rPr>
        <w:tab/>
        <w:t>ET</w:t>
      </w:r>
    </w:p>
    <w:p>
      <w:pPr>
        <w:pStyle w:val="Paragraphedeliste"/>
        <w:numPr>
          <w:ilvl w:val="0"/>
          <w:numId w:val="4"/>
        </w:numPr>
        <w:rPr>
          <w:rFonts w:ascii="Calibri" w:hAnsi="Calibri"/>
          <w:sz w:val="22"/>
          <w:szCs w:val="22"/>
        </w:rPr>
      </w:pPr>
      <w:r>
        <w:rPr>
          <w:rFonts w:ascii="Calibri" w:hAnsi="Calibri"/>
          <w:sz w:val="22"/>
          <w:szCs w:val="22"/>
        </w:rPr>
        <w:t>A votre comité de concertation</w:t>
      </w: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r>
        <w:rPr>
          <w:rFonts w:ascii="Calibri" w:hAnsi="Calibri"/>
          <w:sz w:val="22"/>
          <w:szCs w:val="22"/>
        </w:rPr>
        <w:br w:type="page"/>
      </w:r>
    </w:p>
    <w:p>
      <w:pPr>
        <w:rPr>
          <w:rFonts w:ascii="Calibri" w:hAnsi="Calibri"/>
          <w:sz w:val="22"/>
          <w:szCs w:val="22"/>
        </w:rPr>
      </w:pPr>
    </w:p>
    <w:p>
      <w:pPr>
        <w:rPr>
          <w:rFonts w:ascii="Calibri" w:hAnsi="Calibri"/>
          <w:sz w:val="22"/>
          <w:szCs w:val="22"/>
        </w:rPr>
      </w:pPr>
    </w:p>
    <w:tbl>
      <w:tblPr>
        <w:tblW w:w="10383" w:type="dxa"/>
        <w:jc w:val="center"/>
        <w:tblLayout w:type="fixed"/>
        <w:tblLook w:val="01E0" w:firstRow="1" w:lastRow="1" w:firstColumn="1" w:lastColumn="1" w:noHBand="0" w:noVBand="0"/>
      </w:tblPr>
      <w:tblGrid>
        <w:gridCol w:w="1635"/>
        <w:gridCol w:w="3043"/>
        <w:gridCol w:w="5705"/>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1 bis</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ansinterligne1"/>
              <w:spacing w:before="60" w:after="60"/>
              <w:jc w:val="center"/>
              <w:rPr>
                <w:rFonts w:cs="Arial"/>
                <w:b/>
              </w:rPr>
            </w:pPr>
            <w:r>
              <w:rPr>
                <w:rFonts w:cs="Arial"/>
                <w:b/>
                <w:u w:val="single"/>
              </w:rPr>
              <w:t>Date limite d’envoi</w:t>
            </w:r>
            <w:r>
              <w:rPr>
                <w:rFonts w:cs="Arial"/>
                <w:b/>
              </w:rPr>
              <w:t> : pour le 3 avril 2020</w:t>
            </w:r>
          </w:p>
          <w:p>
            <w:pPr>
              <w:pStyle w:val="Sansinterligne1"/>
              <w:jc w:val="center"/>
              <w:rPr>
                <w:rFonts w:cs="Arial"/>
                <w:b/>
              </w:rPr>
            </w:pPr>
            <w:r>
              <w:rPr>
                <w:rFonts w:cs="Arial"/>
                <w:b/>
              </w:rPr>
              <w:t xml:space="preserve">+ 10 jours max. après une exclusion postérieure </w:t>
            </w:r>
          </w:p>
          <w:p>
            <w:pPr>
              <w:pStyle w:val="Sansinterligne1"/>
              <w:spacing w:before="60" w:after="60"/>
              <w:jc w:val="center"/>
              <w:rPr>
                <w:rFonts w:cs="Arial"/>
                <w:b/>
              </w:rPr>
            </w:pPr>
            <w:r>
              <w:rPr>
                <w:rFonts w:cs="Arial"/>
                <w:b/>
              </w:rPr>
              <w:t>et au plus tard le 15 juillet 2020 dans ce cas</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spacing w:before="120" w:after="120"/>
              <w:jc w:val="center"/>
              <w:rPr>
                <w:rFonts w:cs="Arial"/>
                <w:b/>
                <w:i/>
              </w:rPr>
            </w:pPr>
            <w:r>
              <w:rPr>
                <w:rFonts w:cs="Arial"/>
                <w:b/>
                <w:i/>
              </w:rPr>
              <w:t xml:space="preserve">Signalisation de DEROGATION consécutive à la fermeture d’une OBG </w:t>
            </w:r>
          </w:p>
          <w:p>
            <w:pPr>
              <w:pStyle w:val="Sansinterligne1"/>
              <w:spacing w:before="120" w:after="120"/>
              <w:jc w:val="center"/>
              <w:rPr>
                <w:rFonts w:cs="Arial"/>
              </w:rPr>
            </w:pPr>
            <w:r>
              <w:rPr>
                <w:rFonts w:cs="Arial"/>
                <w:b/>
                <w:i/>
              </w:rPr>
              <w:t>dans un établissement qui participe au plan de redéploiement de la chambre « Enseignement » du IBEFE</w:t>
            </w: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ind w:left="180"/>
        <w:jc w:val="both"/>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 xml:space="preserve">N° FASE : </w:t>
            </w:r>
          </w:p>
          <w:p>
            <w:pPr>
              <w:pStyle w:val="Sansinterligne1"/>
              <w:spacing w:before="120" w:after="120"/>
              <w:rPr>
                <w:rFonts w:cs="Arial"/>
                <w:b/>
              </w:rPr>
            </w:pPr>
            <w:r>
              <w:rPr>
                <w:rFonts w:cs="Arial"/>
                <w:b/>
              </w:rPr>
              <w:t xml:space="preserve"> </w:t>
            </w: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signale aux services du Gouvernement, via le Conseil général de concertation pour l’enseignement secondaire, le bénéfice des mesures prévues à l’article 19 §2  du décret du 29 juillet 1992.</w:t>
      </w: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3898"/>
        <w:gridCol w:w="283"/>
        <w:gridCol w:w="3686"/>
      </w:tblGrid>
      <w:tr>
        <w:tc>
          <w:tcPr>
            <w:tcW w:w="3898" w:type="dxa"/>
          </w:tcPr>
          <w:p>
            <w:pPr>
              <w:tabs>
                <w:tab w:val="left" w:pos="3544"/>
              </w:tabs>
              <w:rPr>
                <w:rFonts w:ascii="Calibri" w:hAnsi="Calibri"/>
                <w:i/>
                <w:sz w:val="22"/>
                <w:szCs w:val="22"/>
              </w:rPr>
            </w:pPr>
            <w:r>
              <w:rPr>
                <w:rFonts w:ascii="Calibri" w:hAnsi="Calibri"/>
                <w:i/>
                <w:sz w:val="22"/>
                <w:szCs w:val="22"/>
              </w:rPr>
              <w:t xml:space="preserve">La dérogation concerne </w:t>
            </w: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une option de base OBG/OBS</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 xml:space="preserve"> plusieurs OBG/OBS (nombre : ….)</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une année</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3686" w:type="dxa"/>
            <w:tcBorders>
              <w:left w:val="nil"/>
            </w:tcBorders>
          </w:tcPr>
          <w:p>
            <w:pPr>
              <w:tabs>
                <w:tab w:val="left" w:pos="3544"/>
              </w:tabs>
              <w:rPr>
                <w:rFonts w:ascii="Calibri" w:hAnsi="Calibri"/>
                <w:i/>
                <w:sz w:val="22"/>
                <w:szCs w:val="22"/>
              </w:rPr>
            </w:pPr>
            <w:r>
              <w:rPr>
                <w:rFonts w:ascii="Calibri" w:hAnsi="Calibri"/>
                <w:i/>
                <w:sz w:val="22"/>
                <w:szCs w:val="22"/>
              </w:rPr>
              <w:t>un degré</w:t>
            </w:r>
          </w:p>
        </w:tc>
      </w:tr>
    </w:tbl>
    <w:p>
      <w:pPr>
        <w:tabs>
          <w:tab w:val="left" w:pos="2835"/>
          <w:tab w:val="left" w:pos="3402"/>
        </w:tabs>
        <w:rPr>
          <w:rFonts w:ascii="Calibri" w:hAnsi="Calibri"/>
          <w:i/>
          <w:sz w:val="22"/>
          <w:szCs w:val="22"/>
        </w:rPr>
      </w:pPr>
      <w:r>
        <w:rPr>
          <w:rFonts w:ascii="Calibri" w:hAnsi="Calibri"/>
          <w:i/>
          <w:sz w:val="22"/>
          <w:szCs w:val="22"/>
        </w:rPr>
        <w:t xml:space="preserve">   </w:t>
      </w:r>
    </w:p>
    <w:p>
      <w:pPr>
        <w:tabs>
          <w:tab w:val="left" w:pos="2835"/>
          <w:tab w:val="left" w:pos="3402"/>
        </w:tabs>
        <w:rPr>
          <w:rFonts w:ascii="Calibri" w:hAnsi="Calibri"/>
          <w:i/>
          <w:sz w:val="22"/>
          <w:szCs w:val="22"/>
        </w:rPr>
      </w:pPr>
      <w:r>
        <w:rPr>
          <w:rFonts w:ascii="Calibri" w:hAnsi="Calibri"/>
          <w:i/>
          <w:sz w:val="22"/>
          <w:szCs w:val="22"/>
        </w:rPr>
        <w:t xml:space="preserve">           Mettre une X dans LA case correspondant au type de dérogation souhaitée.</w:t>
      </w:r>
    </w:p>
    <w:p>
      <w:pPr>
        <w:tabs>
          <w:tab w:val="left" w:pos="2835"/>
          <w:tab w:val="left" w:pos="3402"/>
        </w:tabs>
        <w:ind w:left="851" w:hanging="851"/>
        <w:rPr>
          <w:rFonts w:ascii="Calibri" w:hAnsi="Calibri"/>
          <w:i/>
          <w:sz w:val="22"/>
          <w:szCs w:val="22"/>
        </w:rPr>
      </w:pPr>
    </w:p>
    <w:p>
      <w:pPr>
        <w:tabs>
          <w:tab w:val="left" w:pos="2835"/>
          <w:tab w:val="left" w:pos="3402"/>
        </w:tabs>
        <w:ind w:left="851" w:hanging="851"/>
        <w:rPr>
          <w:rFonts w:ascii="Calibri" w:hAnsi="Calibri"/>
          <w:b/>
          <w:i/>
          <w:sz w:val="22"/>
          <w:szCs w:val="22"/>
        </w:rPr>
      </w:pPr>
      <w:r>
        <w:rPr>
          <w:rFonts w:ascii="Calibri" w:hAnsi="Calibri"/>
          <w:i/>
          <w:sz w:val="22"/>
          <w:szCs w:val="22"/>
        </w:rPr>
        <w:t xml:space="preserve">N.B. : </w:t>
      </w:r>
      <w:r>
        <w:rPr>
          <w:rFonts w:ascii="Calibri" w:hAnsi="Calibri"/>
          <w:b/>
          <w:i/>
          <w:sz w:val="22"/>
          <w:szCs w:val="22"/>
        </w:rPr>
        <w:t xml:space="preserve">Prière d’introduire un document pour chaque option, année ou degré.  </w:t>
      </w:r>
    </w:p>
    <w:p>
      <w:pPr>
        <w:tabs>
          <w:tab w:val="left" w:pos="2835"/>
          <w:tab w:val="left" w:pos="3402"/>
        </w:tabs>
        <w:ind w:left="851" w:hanging="851"/>
        <w:rPr>
          <w:rFonts w:ascii="Calibri" w:hAnsi="Calibri"/>
          <w:i/>
          <w:sz w:val="22"/>
          <w:szCs w:val="22"/>
        </w:rPr>
      </w:pPr>
    </w:p>
    <w:tbl>
      <w:tblPr>
        <w:tblW w:w="10207"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51"/>
        <w:gridCol w:w="992"/>
        <w:gridCol w:w="1418"/>
        <w:gridCol w:w="992"/>
        <w:gridCol w:w="1701"/>
        <w:gridCol w:w="4253"/>
      </w:tblGrid>
      <w:tr>
        <w:tc>
          <w:tcPr>
            <w:tcW w:w="851" w:type="dxa"/>
          </w:tcPr>
          <w:p>
            <w:pPr>
              <w:tabs>
                <w:tab w:val="left" w:pos="2835"/>
                <w:tab w:val="left" w:pos="3402"/>
              </w:tabs>
              <w:jc w:val="center"/>
              <w:rPr>
                <w:rFonts w:ascii="Calibri" w:hAnsi="Calibri"/>
                <w:b/>
                <w:i/>
                <w:sz w:val="22"/>
                <w:szCs w:val="22"/>
              </w:rPr>
            </w:pPr>
            <w:r>
              <w:rPr>
                <w:rFonts w:ascii="Calibri" w:hAnsi="Calibri"/>
                <w:b/>
                <w:i/>
                <w:sz w:val="22"/>
                <w:szCs w:val="22"/>
              </w:rPr>
              <w:t>Degré</w:t>
            </w:r>
          </w:p>
        </w:tc>
        <w:tc>
          <w:tcPr>
            <w:tcW w:w="992" w:type="dxa"/>
          </w:tcPr>
          <w:p>
            <w:pPr>
              <w:tabs>
                <w:tab w:val="left" w:pos="2835"/>
                <w:tab w:val="left" w:pos="3402"/>
              </w:tabs>
              <w:jc w:val="center"/>
              <w:rPr>
                <w:rFonts w:ascii="Calibri" w:hAnsi="Calibri"/>
                <w:b/>
                <w:i/>
                <w:sz w:val="22"/>
                <w:szCs w:val="22"/>
              </w:rPr>
            </w:pPr>
            <w:r>
              <w:rPr>
                <w:rFonts w:ascii="Calibri" w:hAnsi="Calibri"/>
                <w:b/>
                <w:i/>
                <w:sz w:val="22"/>
                <w:szCs w:val="22"/>
              </w:rPr>
              <w:t>Année d’études</w:t>
            </w:r>
          </w:p>
        </w:tc>
        <w:tc>
          <w:tcPr>
            <w:tcW w:w="1418" w:type="dxa"/>
          </w:tcPr>
          <w:p>
            <w:pPr>
              <w:tabs>
                <w:tab w:val="left" w:pos="2835"/>
                <w:tab w:val="left" w:pos="3402"/>
              </w:tabs>
              <w:rPr>
                <w:rFonts w:ascii="Calibri" w:hAnsi="Calibri"/>
                <w:b/>
                <w:i/>
                <w:sz w:val="22"/>
                <w:szCs w:val="22"/>
              </w:rPr>
            </w:pPr>
            <w:r>
              <w:rPr>
                <w:rFonts w:ascii="Calibri" w:hAnsi="Calibri"/>
                <w:b/>
                <w:i/>
                <w:sz w:val="22"/>
                <w:szCs w:val="22"/>
              </w:rPr>
              <w:t>Forme + section</w:t>
            </w:r>
          </w:p>
        </w:tc>
        <w:tc>
          <w:tcPr>
            <w:tcW w:w="992" w:type="dxa"/>
          </w:tcPr>
          <w:p>
            <w:pPr>
              <w:tabs>
                <w:tab w:val="left" w:pos="2835"/>
                <w:tab w:val="left" w:pos="3402"/>
              </w:tabs>
              <w:jc w:val="center"/>
              <w:rPr>
                <w:rFonts w:ascii="Calibri" w:hAnsi="Calibri"/>
                <w:b/>
                <w:i/>
                <w:sz w:val="22"/>
                <w:szCs w:val="22"/>
              </w:rPr>
            </w:pPr>
            <w:r>
              <w:rPr>
                <w:rFonts w:ascii="Calibri" w:hAnsi="Calibri"/>
                <w:b/>
                <w:i/>
                <w:sz w:val="22"/>
                <w:szCs w:val="22"/>
              </w:rPr>
              <w:t>Code de l’option</w:t>
            </w:r>
          </w:p>
        </w:tc>
        <w:tc>
          <w:tcPr>
            <w:tcW w:w="1701" w:type="dxa"/>
          </w:tcPr>
          <w:p>
            <w:pPr>
              <w:tabs>
                <w:tab w:val="left" w:pos="2835"/>
                <w:tab w:val="left" w:pos="3402"/>
              </w:tabs>
              <w:jc w:val="center"/>
              <w:rPr>
                <w:rFonts w:ascii="Calibri" w:hAnsi="Calibri"/>
                <w:b/>
                <w:i/>
                <w:sz w:val="22"/>
                <w:szCs w:val="22"/>
              </w:rPr>
            </w:pPr>
            <w:r>
              <w:rPr>
                <w:rFonts w:ascii="Calibri" w:hAnsi="Calibri"/>
                <w:b/>
                <w:i/>
                <w:sz w:val="22"/>
                <w:szCs w:val="22"/>
              </w:rPr>
              <w:t>PE/</w:t>
            </w:r>
          </w:p>
          <w:p>
            <w:pPr>
              <w:tabs>
                <w:tab w:val="left" w:pos="2835"/>
                <w:tab w:val="left" w:pos="3402"/>
              </w:tabs>
              <w:jc w:val="center"/>
              <w:rPr>
                <w:rFonts w:ascii="Calibri" w:hAnsi="Calibri"/>
                <w:b/>
                <w:i/>
                <w:sz w:val="22"/>
                <w:szCs w:val="22"/>
              </w:rPr>
            </w:pPr>
            <w:r>
              <w:rPr>
                <w:rFonts w:ascii="Calibri" w:hAnsi="Calibri"/>
                <w:b/>
                <w:i/>
                <w:sz w:val="22"/>
                <w:szCs w:val="22"/>
              </w:rPr>
              <w:t>Alt. (art.49)</w:t>
            </w:r>
            <w:r>
              <w:rPr>
                <w:rStyle w:val="Appelnotedebasdep"/>
                <w:rFonts w:ascii="Calibri" w:hAnsi="Calibri"/>
                <w:b/>
                <w:i/>
                <w:sz w:val="22"/>
                <w:szCs w:val="22"/>
              </w:rPr>
              <w:footnoteReference w:id="1"/>
            </w:r>
          </w:p>
        </w:tc>
        <w:tc>
          <w:tcPr>
            <w:tcW w:w="4253" w:type="dxa"/>
          </w:tcPr>
          <w:p>
            <w:pPr>
              <w:tabs>
                <w:tab w:val="left" w:pos="2835"/>
                <w:tab w:val="left" w:pos="3402"/>
              </w:tabs>
              <w:jc w:val="center"/>
              <w:rPr>
                <w:rFonts w:ascii="Calibri" w:hAnsi="Calibri"/>
                <w:b/>
                <w:i/>
                <w:sz w:val="22"/>
                <w:szCs w:val="22"/>
              </w:rPr>
            </w:pPr>
            <w:r>
              <w:rPr>
                <w:rFonts w:ascii="Calibri" w:hAnsi="Calibri"/>
                <w:b/>
                <w:i/>
                <w:sz w:val="22"/>
                <w:szCs w:val="22"/>
              </w:rPr>
              <w:t>Intitulé de l’option</w:t>
            </w:r>
          </w:p>
          <w:p>
            <w:pPr>
              <w:tabs>
                <w:tab w:val="left" w:pos="2835"/>
                <w:tab w:val="left" w:pos="3402"/>
              </w:tabs>
              <w:jc w:val="center"/>
              <w:rPr>
                <w:rFonts w:ascii="Calibri" w:hAnsi="Calibri"/>
                <w:b/>
                <w:i/>
                <w:sz w:val="22"/>
                <w:szCs w:val="22"/>
              </w:rPr>
            </w:pPr>
            <w:r>
              <w:rPr>
                <w:rFonts w:ascii="Calibri" w:hAnsi="Calibri"/>
                <w:i/>
                <w:sz w:val="22"/>
                <w:szCs w:val="22"/>
              </w:rPr>
              <w:t>(laisser en blanc si la demande concerne une année ou un degré)</w:t>
            </w:r>
            <w:r>
              <w:rPr>
                <w:rFonts w:ascii="Calibri" w:hAnsi="Calibri"/>
                <w:b/>
                <w:i/>
                <w:sz w:val="22"/>
                <w:szCs w:val="22"/>
              </w:rPr>
              <w:t xml:space="preserve"> </w:t>
            </w:r>
          </w:p>
        </w:tc>
      </w:tr>
      <w:tr>
        <w:trPr>
          <w:trHeight w:val="360"/>
        </w:trPr>
        <w:tc>
          <w:tcPr>
            <w:tcW w:w="851" w:type="dxa"/>
          </w:tcPr>
          <w:p>
            <w:pPr>
              <w:tabs>
                <w:tab w:val="left" w:pos="2835"/>
                <w:tab w:val="left" w:pos="3402"/>
              </w:tabs>
              <w:jc w:val="center"/>
              <w:rPr>
                <w:rFonts w:ascii="Calibri" w:hAnsi="Calibri"/>
                <w:b/>
                <w:i/>
                <w:sz w:val="22"/>
                <w:szCs w:val="22"/>
              </w:rPr>
            </w:pPr>
          </w:p>
          <w:p>
            <w:pPr>
              <w:tabs>
                <w:tab w:val="left" w:pos="2835"/>
                <w:tab w:val="left" w:pos="3402"/>
              </w:tabs>
              <w:jc w:val="center"/>
              <w:rPr>
                <w:rFonts w:ascii="Calibri" w:hAnsi="Calibri"/>
                <w:b/>
                <w:i/>
                <w:sz w:val="22"/>
                <w:szCs w:val="22"/>
              </w:rPr>
            </w:pPr>
          </w:p>
        </w:tc>
        <w:tc>
          <w:tcPr>
            <w:tcW w:w="992" w:type="dxa"/>
          </w:tcPr>
          <w:p>
            <w:pPr>
              <w:tabs>
                <w:tab w:val="left" w:pos="2835"/>
                <w:tab w:val="left" w:pos="3402"/>
              </w:tabs>
              <w:jc w:val="center"/>
              <w:rPr>
                <w:rFonts w:ascii="Calibri" w:hAnsi="Calibri"/>
                <w:b/>
                <w:i/>
                <w:sz w:val="22"/>
                <w:szCs w:val="22"/>
              </w:rPr>
            </w:pPr>
          </w:p>
        </w:tc>
        <w:tc>
          <w:tcPr>
            <w:tcW w:w="1418" w:type="dxa"/>
          </w:tcPr>
          <w:p>
            <w:pPr>
              <w:tabs>
                <w:tab w:val="left" w:pos="2835"/>
                <w:tab w:val="left" w:pos="3402"/>
              </w:tabs>
              <w:jc w:val="center"/>
              <w:rPr>
                <w:rFonts w:ascii="Calibri" w:hAnsi="Calibri"/>
                <w:b/>
                <w:i/>
                <w:sz w:val="22"/>
                <w:szCs w:val="22"/>
              </w:rPr>
            </w:pPr>
          </w:p>
        </w:tc>
        <w:tc>
          <w:tcPr>
            <w:tcW w:w="992" w:type="dxa"/>
          </w:tcPr>
          <w:p>
            <w:pPr>
              <w:tabs>
                <w:tab w:val="left" w:pos="2835"/>
                <w:tab w:val="left" w:pos="3402"/>
              </w:tabs>
              <w:jc w:val="center"/>
              <w:rPr>
                <w:rFonts w:ascii="Calibri" w:hAnsi="Calibri"/>
                <w:b/>
                <w:i/>
                <w:sz w:val="22"/>
                <w:szCs w:val="22"/>
              </w:rPr>
            </w:pPr>
          </w:p>
        </w:tc>
        <w:tc>
          <w:tcPr>
            <w:tcW w:w="1701" w:type="dxa"/>
          </w:tcPr>
          <w:p>
            <w:pPr>
              <w:tabs>
                <w:tab w:val="left" w:pos="2835"/>
                <w:tab w:val="left" w:pos="3402"/>
              </w:tabs>
              <w:jc w:val="center"/>
              <w:rPr>
                <w:rFonts w:ascii="Calibri" w:hAnsi="Calibri"/>
                <w:b/>
                <w:i/>
                <w:sz w:val="22"/>
                <w:szCs w:val="22"/>
              </w:rPr>
            </w:pPr>
          </w:p>
        </w:tc>
        <w:tc>
          <w:tcPr>
            <w:tcW w:w="4253" w:type="dxa"/>
          </w:tcPr>
          <w:p>
            <w:pPr>
              <w:tabs>
                <w:tab w:val="left" w:pos="2835"/>
                <w:tab w:val="left" w:pos="3402"/>
              </w:tabs>
              <w:jc w:val="center"/>
              <w:rPr>
                <w:rFonts w:ascii="Calibri" w:hAnsi="Calibri"/>
                <w:b/>
                <w:i/>
                <w:sz w:val="22"/>
                <w:szCs w:val="22"/>
              </w:rPr>
            </w:pPr>
          </w:p>
        </w:tc>
      </w:tr>
    </w:tbl>
    <w:p>
      <w:pPr>
        <w:rPr>
          <w:rFonts w:ascii="Calibri" w:hAnsi="Calibri"/>
          <w:i/>
          <w:sz w:val="22"/>
          <w:szCs w:val="22"/>
        </w:rPr>
      </w:pPr>
    </w:p>
    <w:p>
      <w:pPr>
        <w:rPr>
          <w:rFonts w:ascii="Calibri" w:hAnsi="Calibri"/>
          <w:i/>
          <w:sz w:val="22"/>
          <w:szCs w:val="22"/>
        </w:rPr>
      </w:pPr>
      <w:r>
        <w:rPr>
          <w:rFonts w:ascii="Calibri" w:hAnsi="Calibri"/>
          <w:i/>
          <w:sz w:val="22"/>
          <w:szCs w:val="22"/>
        </w:rPr>
        <w:t>Les conditions pour bénéficier d’une telle dérogation sont explicitées ci-après:</w:t>
      </w:r>
    </w:p>
    <w:p>
      <w:pPr>
        <w:rPr>
          <w:rFonts w:ascii="Calibri" w:hAnsi="Calibri"/>
          <w:i/>
          <w:sz w:val="22"/>
          <w:szCs w:val="22"/>
        </w:rPr>
      </w:pPr>
    </w:p>
    <w:p>
      <w:pPr>
        <w:numPr>
          <w:ilvl w:val="0"/>
          <w:numId w:val="7"/>
        </w:numPr>
        <w:rPr>
          <w:rFonts w:ascii="Calibri" w:hAnsi="Calibri"/>
          <w:i/>
          <w:sz w:val="22"/>
          <w:szCs w:val="22"/>
        </w:rPr>
      </w:pPr>
      <w:r>
        <w:rPr>
          <w:rFonts w:ascii="Calibri" w:hAnsi="Calibri"/>
          <w:i/>
          <w:sz w:val="22"/>
          <w:szCs w:val="22"/>
        </w:rPr>
        <w:t xml:space="preserve">Etre inscrit dans les plans de redéploiement la chambre « Enseignement » du IBEFE; </w:t>
      </w:r>
    </w:p>
    <w:p>
      <w:pPr>
        <w:numPr>
          <w:ilvl w:val="0"/>
          <w:numId w:val="7"/>
        </w:numPr>
        <w:rPr>
          <w:rFonts w:ascii="Calibri" w:hAnsi="Calibri"/>
          <w:i/>
          <w:sz w:val="22"/>
          <w:szCs w:val="22"/>
        </w:rPr>
      </w:pPr>
      <w:r>
        <w:rPr>
          <w:rFonts w:ascii="Calibri" w:hAnsi="Calibri"/>
          <w:i/>
          <w:sz w:val="22"/>
          <w:szCs w:val="22"/>
        </w:rPr>
        <w:t>Avoir fermé une OBG (copie de l’annexe 4. 1 de la circulaire 7233 du 11 juillet 2019) ;</w:t>
      </w:r>
    </w:p>
    <w:p>
      <w:pPr>
        <w:numPr>
          <w:ilvl w:val="0"/>
          <w:numId w:val="7"/>
        </w:numPr>
        <w:rPr>
          <w:rFonts w:ascii="Calibri" w:hAnsi="Calibri"/>
          <w:i/>
          <w:sz w:val="22"/>
          <w:szCs w:val="22"/>
        </w:rPr>
      </w:pPr>
      <w:r>
        <w:rPr>
          <w:rFonts w:ascii="Calibri" w:hAnsi="Calibri"/>
          <w:i/>
          <w:sz w:val="22"/>
          <w:szCs w:val="22"/>
        </w:rPr>
        <w:t>Répondre à la condition de l’article 19 §2  du décret du 29 juillet 1992, c’est-à-dire avoir dans l’option pour laquelle la dérogation va être utilisée une moyenne de fréquentation au moins égale à la moitié de la norme de maintien.</w:t>
      </w: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tabs>
          <w:tab w:val="left" w:pos="2835"/>
          <w:tab w:val="left" w:pos="3402"/>
        </w:tabs>
        <w:rPr>
          <w:rFonts w:ascii="Calibri" w:hAnsi="Calibri"/>
          <w:i/>
          <w:sz w:val="22"/>
          <w:szCs w:val="22"/>
        </w:rPr>
      </w:pPr>
      <w:r>
        <w:rPr>
          <w:rFonts w:ascii="Calibri" w:hAnsi="Calibri"/>
          <w:i/>
          <w:sz w:val="22"/>
          <w:szCs w:val="22"/>
        </w:rPr>
        <w:t>Date, nom, qualité et signature du demandeur</w:t>
      </w:r>
    </w:p>
    <w:p>
      <w:pPr>
        <w:rPr>
          <w:rFonts w:ascii="Calibri" w:hAnsi="Calibri"/>
          <w:sz w:val="22"/>
          <w:szCs w:val="22"/>
        </w:rPr>
      </w:pPr>
    </w:p>
    <w:p>
      <w:pPr>
        <w:rPr>
          <w:rFonts w:ascii="Calibri" w:hAnsi="Calibri"/>
          <w:sz w:val="22"/>
          <w:szCs w:val="22"/>
        </w:rPr>
      </w:pPr>
    </w:p>
    <w:p>
      <w:pPr>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2</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3 avril 2020</w:t>
            </w:r>
          </w:p>
          <w:p>
            <w:pPr>
              <w:pStyle w:val="Sansinterligne1"/>
              <w:jc w:val="center"/>
              <w:rPr>
                <w:rFonts w:cs="Arial"/>
                <w:b/>
              </w:rPr>
            </w:pPr>
            <w:r>
              <w:rPr>
                <w:rFonts w:cs="Arial"/>
                <w:b/>
              </w:rPr>
              <w:t xml:space="preserve">+ 10 jours max. après une exclusion postérieure </w:t>
            </w:r>
          </w:p>
          <w:p>
            <w:pPr>
              <w:pStyle w:val="Sansinterligne1"/>
              <w:spacing w:before="60" w:after="60"/>
              <w:jc w:val="center"/>
              <w:rPr>
                <w:rFonts w:cs="Arial"/>
                <w:b/>
              </w:rPr>
            </w:pPr>
            <w:r>
              <w:rPr>
                <w:rFonts w:cs="Arial"/>
                <w:b/>
              </w:rPr>
              <w:t>et au plus tard le 15 juillet 2020 dans ce cas</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spacing w:before="120" w:after="120"/>
              <w:jc w:val="center"/>
              <w:rPr>
                <w:rFonts w:cs="Arial"/>
              </w:rPr>
            </w:pPr>
            <w:r>
              <w:rPr>
                <w:rFonts w:cs="Arial"/>
                <w:b/>
                <w:i/>
              </w:rPr>
              <w:t xml:space="preserve">Demande de DEROGATION concernant la globalisation totale du comptage et/ou la globalisation du comptage au premier degré </w:t>
            </w: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p>
          <w:p>
            <w:pPr>
              <w:pStyle w:val="Sansinterligne1"/>
              <w:spacing w:before="120" w:after="120"/>
              <w:rPr>
                <w:rFonts w:cs="Arial"/>
                <w:b/>
              </w:rPr>
            </w:pPr>
            <w:r>
              <w:rPr>
                <w:rFonts w:cs="Arial"/>
                <w:b/>
              </w:rPr>
              <w:t>N° FASE :</w:t>
            </w: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pour l’enseignement secondaire, une dérogation aux dispositions de l’article 22 §1er, alinéas 5 et 6 du décret du 29 juillet 1992, tel que modifié.</w:t>
      </w: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3898"/>
        <w:gridCol w:w="283"/>
        <w:gridCol w:w="4961"/>
      </w:tblGrid>
      <w:tr>
        <w:tc>
          <w:tcPr>
            <w:tcW w:w="3898" w:type="dxa"/>
          </w:tcPr>
          <w:p>
            <w:pPr>
              <w:tabs>
                <w:tab w:val="left" w:pos="3544"/>
              </w:tabs>
              <w:rPr>
                <w:rFonts w:ascii="Calibri" w:hAnsi="Calibri"/>
                <w:i/>
                <w:sz w:val="22"/>
                <w:szCs w:val="22"/>
              </w:rPr>
            </w:pPr>
            <w:r>
              <w:rPr>
                <w:rFonts w:ascii="Calibri" w:hAnsi="Calibri"/>
                <w:i/>
                <w:sz w:val="22"/>
                <w:szCs w:val="22"/>
              </w:rPr>
              <w:t xml:space="preserve">La demande de dérogation concerne </w:t>
            </w: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4961" w:type="dxa"/>
            <w:tcBorders>
              <w:left w:val="nil"/>
            </w:tcBorders>
          </w:tcPr>
          <w:p>
            <w:pPr>
              <w:tabs>
                <w:tab w:val="left" w:pos="3544"/>
              </w:tabs>
              <w:ind w:left="214"/>
              <w:rPr>
                <w:rFonts w:ascii="Calibri" w:hAnsi="Calibri"/>
                <w:i/>
                <w:sz w:val="22"/>
                <w:szCs w:val="22"/>
              </w:rPr>
            </w:pPr>
            <w:r>
              <w:rPr>
                <w:rFonts w:ascii="Calibri" w:hAnsi="Calibri"/>
                <w:i/>
                <w:sz w:val="22"/>
                <w:szCs w:val="22"/>
              </w:rPr>
              <w:t>la globalisation totale du comptage</w:t>
            </w:r>
          </w:p>
        </w:tc>
      </w:tr>
      <w:tr>
        <w:tc>
          <w:tcPr>
            <w:tcW w:w="3898" w:type="dxa"/>
          </w:tcPr>
          <w:p>
            <w:pPr>
              <w:tabs>
                <w:tab w:val="left" w:pos="3544"/>
              </w:tabs>
              <w:rPr>
                <w:rFonts w:ascii="Calibri" w:hAnsi="Calibri"/>
                <w:i/>
                <w:sz w:val="22"/>
                <w:szCs w:val="22"/>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rPr>
                <w:rFonts w:ascii="Calibri" w:hAnsi="Calibri"/>
                <w:i/>
                <w:sz w:val="22"/>
                <w:szCs w:val="22"/>
              </w:rPr>
            </w:pPr>
          </w:p>
        </w:tc>
        <w:tc>
          <w:tcPr>
            <w:tcW w:w="4961" w:type="dxa"/>
            <w:tcBorders>
              <w:left w:val="nil"/>
            </w:tcBorders>
          </w:tcPr>
          <w:p>
            <w:pPr>
              <w:tabs>
                <w:tab w:val="left" w:pos="3544"/>
              </w:tabs>
              <w:ind w:left="214"/>
              <w:rPr>
                <w:rFonts w:ascii="Calibri" w:hAnsi="Calibri"/>
                <w:i/>
                <w:sz w:val="22"/>
                <w:szCs w:val="22"/>
              </w:rPr>
            </w:pPr>
            <w:r>
              <w:rPr>
                <w:rFonts w:ascii="Calibri" w:hAnsi="Calibri"/>
                <w:i/>
                <w:sz w:val="22"/>
                <w:szCs w:val="22"/>
              </w:rPr>
              <w:t>la globalisation du comptage au premier degré</w:t>
            </w:r>
          </w:p>
        </w:tc>
      </w:tr>
    </w:tbl>
    <w:p>
      <w:pPr>
        <w:tabs>
          <w:tab w:val="left" w:pos="2835"/>
          <w:tab w:val="left" w:pos="3402"/>
        </w:tabs>
        <w:rPr>
          <w:rFonts w:ascii="Calibri" w:hAnsi="Calibri"/>
          <w:i/>
          <w:sz w:val="22"/>
          <w:szCs w:val="22"/>
        </w:rPr>
      </w:pPr>
    </w:p>
    <w:p>
      <w:pPr>
        <w:tabs>
          <w:tab w:val="left" w:pos="567"/>
          <w:tab w:val="left" w:pos="2835"/>
          <w:tab w:val="left" w:pos="3402"/>
        </w:tabs>
        <w:rPr>
          <w:rFonts w:ascii="Calibri" w:hAnsi="Calibri"/>
          <w:i/>
          <w:sz w:val="22"/>
          <w:szCs w:val="22"/>
        </w:rPr>
      </w:pPr>
      <w:r>
        <w:rPr>
          <w:rFonts w:ascii="Calibri" w:hAnsi="Calibri"/>
          <w:i/>
          <w:sz w:val="22"/>
          <w:szCs w:val="22"/>
          <w:u w:val="single"/>
        </w:rPr>
        <w:t xml:space="preserve">N.B. </w:t>
      </w:r>
      <w:r>
        <w:rPr>
          <w:rFonts w:ascii="Calibri" w:hAnsi="Calibri"/>
          <w:i/>
          <w:sz w:val="22"/>
          <w:szCs w:val="22"/>
        </w:rPr>
        <w:t>: Mettre une X dans la case correspondant au type de dérogation souhaitée.</w:t>
      </w:r>
    </w:p>
    <w:p>
      <w:pPr>
        <w:tabs>
          <w:tab w:val="left" w:pos="567"/>
          <w:tab w:val="left" w:pos="2835"/>
          <w:tab w:val="left" w:pos="3402"/>
        </w:tabs>
        <w:rPr>
          <w:rFonts w:ascii="Calibri" w:hAnsi="Calibri"/>
          <w:i/>
          <w:sz w:val="22"/>
          <w:szCs w:val="22"/>
        </w:rPr>
      </w:pPr>
    </w:p>
    <w:p>
      <w:pPr>
        <w:rPr>
          <w:rFonts w:ascii="Calibri" w:hAnsi="Calibri"/>
          <w:i/>
          <w:sz w:val="22"/>
          <w:szCs w:val="22"/>
        </w:rPr>
      </w:pPr>
      <w:r>
        <w:rPr>
          <w:rFonts w:ascii="Calibri" w:hAnsi="Calibri"/>
          <w:i/>
          <w:sz w:val="22"/>
          <w:szCs w:val="22"/>
        </w:rPr>
        <w:t>Les raisons de cette demande sont explicitées ci-dessous :</w:t>
      </w:r>
    </w:p>
    <w:p>
      <w:pPr>
        <w:rPr>
          <w:rFonts w:ascii="Calibri" w:hAnsi="Calibri"/>
          <w:i/>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0345"/>
      </w:tblGrid>
      <w:tr>
        <w:tc>
          <w:tcPr>
            <w:tcW w:w="10345" w:type="dxa"/>
          </w:tcPr>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tc>
      </w:tr>
    </w:tbl>
    <w:p>
      <w:pPr>
        <w:rPr>
          <w:rFonts w:ascii="Calibri" w:hAnsi="Calibri"/>
          <w:i/>
          <w:sz w:val="22"/>
          <w:szCs w:val="22"/>
        </w:rPr>
      </w:pPr>
    </w:p>
    <w:p>
      <w:pPr>
        <w:rPr>
          <w:rFonts w:ascii="Calibri" w:hAnsi="Calibri"/>
          <w:i/>
          <w:sz w:val="22"/>
          <w:szCs w:val="22"/>
        </w:rPr>
      </w:pPr>
      <w:r>
        <w:rPr>
          <w:rFonts w:ascii="Calibri" w:hAnsi="Calibri"/>
          <w:i/>
          <w:sz w:val="22"/>
          <w:szCs w:val="22"/>
        </w:rPr>
        <w:t>Pour toute demande suite à une exclusion postérieure au 15 janvier, préciser la date de l’exclusion définitive :</w:t>
      </w:r>
    </w:p>
    <w:p>
      <w:pPr>
        <w:rPr>
          <w:rFonts w:ascii="Calibri" w:hAnsi="Calibri"/>
          <w:i/>
          <w:sz w:val="22"/>
          <w:szCs w:val="22"/>
        </w:rPr>
      </w:pPr>
    </w:p>
    <w:tbl>
      <w:tblPr>
        <w:tblW w:w="10275" w:type="dxa"/>
        <w:tblInd w:w="70" w:type="dxa"/>
        <w:tblLayout w:type="fixed"/>
        <w:tblCellMar>
          <w:left w:w="70" w:type="dxa"/>
          <w:right w:w="70" w:type="dxa"/>
        </w:tblCellMar>
        <w:tblLook w:val="0000" w:firstRow="0" w:lastRow="0" w:firstColumn="0" w:lastColumn="0" w:noHBand="0" w:noVBand="0"/>
      </w:tblPr>
      <w:tblGrid>
        <w:gridCol w:w="10275"/>
      </w:tblGrid>
      <w:tr>
        <w:tc>
          <w:tcPr>
            <w:tcW w:w="1027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rPr>
          <w:rFonts w:ascii="Calibri" w:hAnsi="Calibri"/>
          <w:sz w:val="22"/>
          <w:szCs w:val="22"/>
        </w:rPr>
      </w:pPr>
      <w:r>
        <w:rPr>
          <w:rFonts w:ascii="Calibri" w:hAnsi="Calibri"/>
          <w:sz w:val="22"/>
          <w:szCs w:val="22"/>
        </w:rPr>
        <w:br w:type="page"/>
      </w: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lastRenderedPageBreak/>
              <w:br w:type="page"/>
            </w:r>
            <w:r>
              <w:rPr>
                <w:b/>
                <w:bCs/>
                <w:i/>
                <w:iCs/>
              </w:rPr>
              <w:br w:type="page"/>
            </w:r>
            <w:r>
              <w:rPr>
                <w:rFonts w:cs="Arial"/>
                <w:b/>
              </w:rPr>
              <w:t>Annexe 3</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3 avril 2020</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jc w:val="center"/>
              <w:rPr>
                <w:rFonts w:ascii="Calibri" w:hAnsi="Calibri" w:cs="Arial"/>
                <w:b/>
                <w:sz w:val="22"/>
                <w:szCs w:val="22"/>
              </w:rPr>
            </w:pPr>
            <w:r>
              <w:rPr>
                <w:rFonts w:ascii="Calibri" w:hAnsi="Calibri" w:cs="Arial"/>
                <w:b/>
                <w:i/>
                <w:sz w:val="22"/>
                <w:szCs w:val="22"/>
              </w:rPr>
              <w:t xml:space="preserve">Demande de </w:t>
            </w:r>
            <w:r>
              <w:rPr>
                <w:rFonts w:ascii="Calibri" w:hAnsi="Calibri" w:cs="Arial"/>
                <w:b/>
                <w:sz w:val="22"/>
                <w:szCs w:val="22"/>
              </w:rPr>
              <w:t>DEROGATION pour un emploi supplémentaire de surveillant-éducateur</w:t>
            </w:r>
          </w:p>
          <w:p>
            <w:pPr>
              <w:pStyle w:val="Sansinterligne1"/>
              <w:jc w:val="center"/>
              <w:rPr>
                <w:rFonts w:cs="Arial"/>
                <w:b/>
              </w:rPr>
            </w:pPr>
            <w:r>
              <w:rPr>
                <w:rFonts w:cs="Arial"/>
                <w:b/>
              </w:rPr>
              <w:t>dans un établissement issu d’une fusion</w:t>
            </w:r>
          </w:p>
          <w:p>
            <w:pPr>
              <w:pStyle w:val="Sansinterligne1"/>
              <w:jc w:val="center"/>
              <w:rPr>
                <w:rFonts w:cs="Arial"/>
              </w:rPr>
            </w:pP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dérogation aux dispositions de l’article 5, alinéa 1er, 1° de l’arrêté royal du 15 avril 1977, tel que modifié (dérogation pour un emploi supplémentaire de surveillant-éducateur dans un établissement issu d’une fusion).</w:t>
      </w:r>
    </w:p>
    <w:p>
      <w:pPr>
        <w:rPr>
          <w:rFonts w:ascii="Calibri" w:hAnsi="Calibri"/>
          <w:i/>
          <w:sz w:val="22"/>
          <w:szCs w:val="22"/>
        </w:rPr>
      </w:pPr>
    </w:p>
    <w:p>
      <w:pPr>
        <w:rPr>
          <w:rFonts w:ascii="Calibri" w:hAnsi="Calibri"/>
          <w:i/>
          <w:sz w:val="22"/>
          <w:szCs w:val="22"/>
        </w:rPr>
      </w:pPr>
      <w:r>
        <w:rPr>
          <w:rFonts w:ascii="Calibri" w:hAnsi="Calibri"/>
          <w:i/>
          <w:sz w:val="22"/>
          <w:szCs w:val="22"/>
        </w:rPr>
        <w:t>Les raisons de cette demande sont explicitées ci-dessous:</w:t>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0345"/>
      </w:tblGrid>
      <w:tr>
        <w:tc>
          <w:tcPr>
            <w:tcW w:w="10345" w:type="dxa"/>
          </w:tcPr>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tc>
      </w:tr>
    </w:tbl>
    <w:p>
      <w:pPr>
        <w:rPr>
          <w:rFonts w:ascii="Calibri" w:hAnsi="Calibri"/>
          <w:i/>
          <w:sz w:val="22"/>
          <w:szCs w:val="22"/>
        </w:rPr>
      </w:pPr>
    </w:p>
    <w:tbl>
      <w:tblPr>
        <w:tblW w:w="10345" w:type="dxa"/>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4</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3 avril 2020</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 xml:space="preserve">Demande de DEROGATION concernant la délocalisation d'un degré, d'une année </w:t>
            </w:r>
          </w:p>
          <w:p>
            <w:pPr>
              <w:pStyle w:val="Sansinterligne1"/>
              <w:jc w:val="center"/>
              <w:rPr>
                <w:rFonts w:cs="Arial"/>
                <w:b/>
              </w:rPr>
            </w:pPr>
            <w:r>
              <w:rPr>
                <w:rFonts w:cs="Arial"/>
                <w:b/>
                <w:i/>
              </w:rPr>
              <w:t xml:space="preserve">ou d'une option de base dans un autre établissement </w:t>
            </w:r>
          </w:p>
          <w:p>
            <w:pPr>
              <w:pStyle w:val="Sansinterligne1"/>
              <w:jc w:val="center"/>
              <w:rPr>
                <w:rFonts w:cs="Arial"/>
              </w:rPr>
            </w:pP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dérogation aux dispositions de l’article 5quater §2, alinéa 1er du décret du 29 juillet 1992, tel que modifié (délocalisation d'un degré, d'une année ou d'une option de base dans un autre établissement).</w:t>
      </w:r>
    </w:p>
    <w:p>
      <w:pPr>
        <w:rPr>
          <w:rFonts w:ascii="Calibri" w:hAnsi="Calibri"/>
          <w:i/>
          <w:sz w:val="22"/>
          <w:szCs w:val="22"/>
        </w:rPr>
      </w:pPr>
    </w:p>
    <w:p>
      <w:pPr>
        <w:rPr>
          <w:rFonts w:ascii="Calibri" w:hAnsi="Calibri"/>
          <w:sz w:val="22"/>
          <w:szCs w:val="22"/>
        </w:rPr>
      </w:pPr>
      <w:r>
        <w:rPr>
          <w:rFonts w:ascii="Calibri" w:hAnsi="Calibri"/>
          <w:i/>
          <w:sz w:val="22"/>
          <w:szCs w:val="22"/>
        </w:rPr>
        <w:t>Les raisons de cette demande sont explicitées ci-dessous:</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2431"/>
        <w:gridCol w:w="1710"/>
        <w:gridCol w:w="3867"/>
      </w:tblGrid>
      <w:tr>
        <w:tc>
          <w:tcPr>
            <w:tcW w:w="2189" w:type="dxa"/>
          </w:tcPr>
          <w:p>
            <w:pPr>
              <w:jc w:val="center"/>
              <w:rPr>
                <w:rFonts w:ascii="Calibri" w:hAnsi="Calibri"/>
                <w:b/>
                <w:sz w:val="22"/>
                <w:szCs w:val="22"/>
              </w:rPr>
            </w:pPr>
            <w:r>
              <w:rPr>
                <w:rFonts w:ascii="Calibri" w:hAnsi="Calibri"/>
                <w:b/>
                <w:sz w:val="22"/>
                <w:szCs w:val="22"/>
              </w:rPr>
              <w:t>Critères du décret</w:t>
            </w:r>
          </w:p>
        </w:tc>
        <w:tc>
          <w:tcPr>
            <w:tcW w:w="2476" w:type="dxa"/>
          </w:tcPr>
          <w:p>
            <w:pPr>
              <w:jc w:val="center"/>
              <w:rPr>
                <w:rFonts w:ascii="Calibri" w:hAnsi="Calibri"/>
                <w:b/>
                <w:sz w:val="22"/>
                <w:szCs w:val="22"/>
              </w:rPr>
            </w:pPr>
            <w:r>
              <w:rPr>
                <w:rFonts w:ascii="Calibri" w:hAnsi="Calibri"/>
                <w:b/>
                <w:sz w:val="22"/>
                <w:szCs w:val="22"/>
              </w:rPr>
              <w:t>Indicateurs</w:t>
            </w:r>
          </w:p>
        </w:tc>
        <w:tc>
          <w:tcPr>
            <w:tcW w:w="1729" w:type="dxa"/>
          </w:tcPr>
          <w:p>
            <w:pPr>
              <w:jc w:val="center"/>
              <w:rPr>
                <w:rFonts w:ascii="Calibri" w:hAnsi="Calibri"/>
                <w:b/>
                <w:sz w:val="22"/>
                <w:szCs w:val="22"/>
              </w:rPr>
            </w:pPr>
            <w:r>
              <w:rPr>
                <w:rFonts w:ascii="Calibri" w:hAnsi="Calibri"/>
                <w:b/>
                <w:sz w:val="22"/>
                <w:szCs w:val="22"/>
              </w:rPr>
              <w:t>Indicateur(s) retenu(s) (à cocher)</w:t>
            </w:r>
          </w:p>
        </w:tc>
        <w:tc>
          <w:tcPr>
            <w:tcW w:w="4007" w:type="dxa"/>
            <w:vAlign w:val="center"/>
          </w:tcPr>
          <w:p>
            <w:pPr>
              <w:jc w:val="center"/>
              <w:rPr>
                <w:rFonts w:ascii="Calibri" w:hAnsi="Calibri"/>
                <w:b/>
                <w:sz w:val="22"/>
                <w:szCs w:val="22"/>
              </w:rPr>
            </w:pPr>
            <w:r>
              <w:rPr>
                <w:rFonts w:ascii="Calibri" w:hAnsi="Calibri"/>
                <w:b/>
                <w:sz w:val="22"/>
                <w:szCs w:val="22"/>
              </w:rPr>
              <w:t>Motivations</w:t>
            </w:r>
          </w:p>
        </w:tc>
      </w:tr>
      <w:tr>
        <w:tc>
          <w:tcPr>
            <w:tcW w:w="2189" w:type="dxa"/>
            <w:vAlign w:val="center"/>
          </w:tcPr>
          <w:p>
            <w:pPr>
              <w:jc w:val="center"/>
              <w:rPr>
                <w:rFonts w:ascii="Calibri" w:hAnsi="Calibri"/>
                <w:sz w:val="22"/>
                <w:szCs w:val="22"/>
              </w:rPr>
            </w:pPr>
            <w:r>
              <w:rPr>
                <w:rFonts w:ascii="Calibri" w:hAnsi="Calibri"/>
                <w:sz w:val="22"/>
                <w:szCs w:val="22"/>
              </w:rPr>
              <w:t>A. L’évolution de la population scolaire totale, par degré ou par option</w:t>
            </w:r>
          </w:p>
        </w:tc>
        <w:tc>
          <w:tcPr>
            <w:tcW w:w="2476" w:type="dxa"/>
          </w:tcPr>
          <w:p>
            <w:pPr>
              <w:rPr>
                <w:rFonts w:ascii="Calibri" w:hAnsi="Calibri"/>
                <w:sz w:val="22"/>
                <w:szCs w:val="22"/>
              </w:rPr>
            </w:pPr>
            <w:r>
              <w:rPr>
                <w:rFonts w:ascii="Calibri" w:hAnsi="Calibri"/>
                <w:sz w:val="22"/>
                <w:szCs w:val="22"/>
              </w:rPr>
              <w:t>A1. Il y a un manque de place en raison de l’évolution du nombre d’élèves.</w:t>
            </w:r>
          </w:p>
        </w:tc>
        <w:tc>
          <w:tcPr>
            <w:tcW w:w="1729" w:type="dxa"/>
          </w:tcPr>
          <w:p>
            <w:pPr>
              <w:rPr>
                <w:rFonts w:ascii="Calibri" w:hAnsi="Calibri"/>
                <w:sz w:val="22"/>
                <w:szCs w:val="22"/>
              </w:rPr>
            </w:pPr>
          </w:p>
        </w:tc>
        <w:tc>
          <w:tcPr>
            <w:tcW w:w="4007"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9" w:type="dxa"/>
            <w:vAlign w:val="center"/>
          </w:tcPr>
          <w:p>
            <w:pPr>
              <w:jc w:val="center"/>
              <w:rPr>
                <w:rFonts w:ascii="Calibri" w:hAnsi="Calibri"/>
                <w:sz w:val="22"/>
                <w:szCs w:val="22"/>
              </w:rPr>
            </w:pPr>
            <w:r>
              <w:rPr>
                <w:rFonts w:ascii="Calibri" w:hAnsi="Calibri"/>
                <w:sz w:val="22"/>
                <w:szCs w:val="22"/>
              </w:rPr>
              <w:t>B. Les spécificités des projets pédagogiques et éducatifs de l’établissement concerné</w:t>
            </w:r>
          </w:p>
        </w:tc>
        <w:tc>
          <w:tcPr>
            <w:tcW w:w="2476" w:type="dxa"/>
          </w:tcPr>
          <w:p>
            <w:pPr>
              <w:rPr>
                <w:rFonts w:ascii="Calibri" w:hAnsi="Calibri"/>
                <w:sz w:val="22"/>
                <w:szCs w:val="22"/>
              </w:rPr>
            </w:pPr>
            <w:r>
              <w:rPr>
                <w:rFonts w:ascii="Calibri" w:hAnsi="Calibri"/>
                <w:sz w:val="22"/>
                <w:szCs w:val="22"/>
              </w:rPr>
              <w:t>B1. La dérogation permet de sauvegarder un projet éducatif et pédagogique particulier.</w:t>
            </w:r>
          </w:p>
        </w:tc>
        <w:tc>
          <w:tcPr>
            <w:tcW w:w="1729" w:type="dxa"/>
          </w:tcPr>
          <w:p>
            <w:pPr>
              <w:rPr>
                <w:rFonts w:ascii="Calibri" w:hAnsi="Calibri"/>
                <w:sz w:val="22"/>
                <w:szCs w:val="22"/>
              </w:rPr>
            </w:pPr>
          </w:p>
        </w:tc>
        <w:tc>
          <w:tcPr>
            <w:tcW w:w="4007"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9" w:type="dxa"/>
            <w:vMerge w:val="restart"/>
            <w:vAlign w:val="center"/>
          </w:tcPr>
          <w:p>
            <w:pPr>
              <w:jc w:val="center"/>
              <w:rPr>
                <w:rFonts w:ascii="Calibri" w:hAnsi="Calibri"/>
                <w:sz w:val="22"/>
                <w:szCs w:val="22"/>
              </w:rPr>
            </w:pPr>
            <w:r>
              <w:rPr>
                <w:rFonts w:ascii="Calibri" w:hAnsi="Calibri"/>
                <w:sz w:val="22"/>
                <w:szCs w:val="22"/>
              </w:rPr>
              <w:t>C. L’offre d’enseignement au sein de la zone dans laquelle se trouve l’établissement</w:t>
            </w:r>
          </w:p>
        </w:tc>
        <w:tc>
          <w:tcPr>
            <w:tcW w:w="2476" w:type="dxa"/>
          </w:tcPr>
          <w:p>
            <w:pPr>
              <w:rPr>
                <w:rFonts w:ascii="Calibri" w:hAnsi="Calibri"/>
                <w:sz w:val="22"/>
                <w:szCs w:val="22"/>
              </w:rPr>
            </w:pPr>
            <w:r>
              <w:rPr>
                <w:rFonts w:ascii="Calibri" w:hAnsi="Calibri"/>
                <w:sz w:val="22"/>
                <w:szCs w:val="22"/>
              </w:rPr>
              <w:t>C1. L’établissement peut bénéficier d’un équipement plus adéquat dans un autre établissement.</w:t>
            </w:r>
          </w:p>
        </w:tc>
        <w:tc>
          <w:tcPr>
            <w:tcW w:w="1729" w:type="dxa"/>
          </w:tcPr>
          <w:p>
            <w:pPr>
              <w:rPr>
                <w:rFonts w:ascii="Calibri" w:hAnsi="Calibri"/>
                <w:sz w:val="22"/>
                <w:szCs w:val="22"/>
              </w:rPr>
            </w:pPr>
          </w:p>
        </w:tc>
        <w:tc>
          <w:tcPr>
            <w:tcW w:w="4007"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9" w:type="dxa"/>
            <w:vMerge/>
          </w:tcPr>
          <w:p>
            <w:pPr>
              <w:rPr>
                <w:rFonts w:ascii="Calibri" w:hAnsi="Calibri"/>
                <w:sz w:val="22"/>
                <w:szCs w:val="22"/>
              </w:rPr>
            </w:pPr>
          </w:p>
        </w:tc>
        <w:tc>
          <w:tcPr>
            <w:tcW w:w="2476" w:type="dxa"/>
          </w:tcPr>
          <w:p>
            <w:pPr>
              <w:rPr>
                <w:rFonts w:ascii="Calibri" w:hAnsi="Calibri"/>
                <w:sz w:val="22"/>
                <w:szCs w:val="22"/>
              </w:rPr>
            </w:pPr>
            <w:r>
              <w:rPr>
                <w:rFonts w:ascii="Calibri" w:hAnsi="Calibri"/>
                <w:sz w:val="22"/>
                <w:szCs w:val="22"/>
              </w:rPr>
              <w:t>C2. Des circonstances particulières (travaux, problèmes de sécurité, …) justifient la délocalisation.</w:t>
            </w:r>
          </w:p>
        </w:tc>
        <w:tc>
          <w:tcPr>
            <w:tcW w:w="1729" w:type="dxa"/>
          </w:tcPr>
          <w:p>
            <w:pPr>
              <w:rPr>
                <w:rFonts w:ascii="Calibri" w:hAnsi="Calibri"/>
                <w:sz w:val="22"/>
                <w:szCs w:val="22"/>
              </w:rPr>
            </w:pPr>
          </w:p>
        </w:tc>
        <w:tc>
          <w:tcPr>
            <w:tcW w:w="4007"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bl>
    <w:p>
      <w:pPr>
        <w:rPr>
          <w:rFonts w:ascii="Calibri" w:hAnsi="Calibri"/>
          <w:i/>
          <w:sz w:val="22"/>
          <w:szCs w:val="22"/>
          <w:u w:val="single"/>
        </w:rPr>
      </w:pP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tabs>
          <w:tab w:val="left" w:pos="2835"/>
          <w:tab w:val="left" w:pos="3402"/>
        </w:tabs>
        <w:rPr>
          <w:rFonts w:ascii="Calibri" w:hAnsi="Calibri"/>
          <w:i/>
          <w:sz w:val="22"/>
          <w:szCs w:val="22"/>
        </w:rPr>
      </w:pPr>
    </w:p>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5</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3 avril 2020</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 xml:space="preserve">Demande de DEROGATION à l’obligation de fermeture d’un établissement </w:t>
            </w:r>
          </w:p>
          <w:p>
            <w:pPr>
              <w:pStyle w:val="Sansinterligne1"/>
              <w:jc w:val="center"/>
              <w:rPr>
                <w:rFonts w:cs="Arial"/>
              </w:rPr>
            </w:pPr>
          </w:p>
        </w:tc>
      </w:tr>
    </w:tbl>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dérogation aux dispositions de l’article 5bis, §2, du décret du 29 juillet 1992, tel que modifié (dérogation à l’obligation de fermeture d’un établissement).</w:t>
      </w:r>
    </w:p>
    <w:p>
      <w:pPr>
        <w:rPr>
          <w:rFonts w:ascii="Calibri" w:hAnsi="Calibri"/>
          <w:i/>
          <w:sz w:val="22"/>
          <w:szCs w:val="22"/>
        </w:rPr>
      </w:pPr>
    </w:p>
    <w:p>
      <w:pPr>
        <w:rPr>
          <w:rFonts w:ascii="Calibri" w:hAnsi="Calibri"/>
          <w:sz w:val="22"/>
          <w:szCs w:val="22"/>
        </w:rPr>
      </w:pPr>
      <w:r>
        <w:rPr>
          <w:rFonts w:ascii="Calibri" w:hAnsi="Calibri"/>
          <w:i/>
          <w:sz w:val="22"/>
          <w:szCs w:val="22"/>
        </w:rPr>
        <w:t>Les raisons de cette demande sont explicitées ci-dessous:</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2170"/>
        <w:gridCol w:w="2578"/>
        <w:gridCol w:w="1985"/>
        <w:gridCol w:w="3612"/>
        <w:gridCol w:w="33"/>
      </w:tblGrid>
      <w:tr>
        <w:tc>
          <w:tcPr>
            <w:tcW w:w="2188" w:type="dxa"/>
            <w:gridSpan w:val="2"/>
          </w:tcPr>
          <w:p>
            <w:pPr>
              <w:jc w:val="center"/>
              <w:rPr>
                <w:rFonts w:ascii="Calibri" w:hAnsi="Calibri"/>
                <w:b/>
                <w:sz w:val="22"/>
                <w:szCs w:val="22"/>
              </w:rPr>
            </w:pPr>
            <w:r>
              <w:rPr>
                <w:rFonts w:ascii="Calibri" w:hAnsi="Calibri"/>
                <w:b/>
                <w:sz w:val="22"/>
                <w:szCs w:val="22"/>
              </w:rPr>
              <w:t>Critères du décret</w:t>
            </w:r>
          </w:p>
        </w:tc>
        <w:tc>
          <w:tcPr>
            <w:tcW w:w="2578" w:type="dxa"/>
          </w:tcPr>
          <w:p>
            <w:pPr>
              <w:jc w:val="center"/>
              <w:rPr>
                <w:rFonts w:ascii="Calibri" w:hAnsi="Calibri"/>
                <w:b/>
                <w:sz w:val="22"/>
                <w:szCs w:val="22"/>
              </w:rPr>
            </w:pPr>
            <w:r>
              <w:rPr>
                <w:rFonts w:ascii="Calibri" w:hAnsi="Calibri"/>
                <w:b/>
                <w:sz w:val="22"/>
                <w:szCs w:val="22"/>
              </w:rPr>
              <w:t>Indicateurs</w:t>
            </w:r>
          </w:p>
        </w:tc>
        <w:tc>
          <w:tcPr>
            <w:tcW w:w="1985" w:type="dxa"/>
          </w:tcPr>
          <w:p>
            <w:pPr>
              <w:jc w:val="center"/>
              <w:rPr>
                <w:rFonts w:ascii="Calibri" w:hAnsi="Calibri"/>
                <w:b/>
                <w:sz w:val="22"/>
                <w:szCs w:val="22"/>
              </w:rPr>
            </w:pPr>
            <w:r>
              <w:rPr>
                <w:rFonts w:ascii="Calibri" w:hAnsi="Calibri"/>
                <w:b/>
                <w:sz w:val="22"/>
                <w:szCs w:val="22"/>
              </w:rPr>
              <w:t>Indicateur(s) retenu(s) (à cocher)</w:t>
            </w:r>
          </w:p>
        </w:tc>
        <w:tc>
          <w:tcPr>
            <w:tcW w:w="3645" w:type="dxa"/>
            <w:gridSpan w:val="2"/>
            <w:vAlign w:val="center"/>
          </w:tcPr>
          <w:p>
            <w:pPr>
              <w:jc w:val="center"/>
              <w:rPr>
                <w:rFonts w:ascii="Calibri" w:hAnsi="Calibri"/>
                <w:b/>
                <w:sz w:val="22"/>
                <w:szCs w:val="22"/>
              </w:rPr>
            </w:pPr>
            <w:r>
              <w:rPr>
                <w:rFonts w:ascii="Calibri" w:hAnsi="Calibri"/>
                <w:b/>
                <w:sz w:val="22"/>
                <w:szCs w:val="22"/>
              </w:rPr>
              <w:t>Motivations</w:t>
            </w:r>
          </w:p>
        </w:tc>
      </w:tr>
      <w:tr>
        <w:tc>
          <w:tcPr>
            <w:tcW w:w="2188" w:type="dxa"/>
            <w:gridSpan w:val="2"/>
            <w:vMerge w:val="restart"/>
            <w:vAlign w:val="center"/>
          </w:tcPr>
          <w:p>
            <w:pPr>
              <w:jc w:val="center"/>
              <w:rPr>
                <w:rFonts w:ascii="Calibri" w:hAnsi="Calibri"/>
                <w:sz w:val="22"/>
                <w:szCs w:val="22"/>
              </w:rPr>
            </w:pPr>
            <w:r>
              <w:rPr>
                <w:rFonts w:ascii="Calibri" w:hAnsi="Calibri"/>
                <w:sz w:val="22"/>
                <w:szCs w:val="22"/>
              </w:rPr>
              <w:t>A. L’évolution de la population scolaire totale, par degré ou par option</w:t>
            </w:r>
          </w:p>
        </w:tc>
        <w:tc>
          <w:tcPr>
            <w:tcW w:w="2578" w:type="dxa"/>
          </w:tcPr>
          <w:p>
            <w:pPr>
              <w:rPr>
                <w:rFonts w:ascii="Calibri" w:hAnsi="Calibri"/>
                <w:sz w:val="22"/>
                <w:szCs w:val="22"/>
              </w:rPr>
            </w:pPr>
            <w:r>
              <w:rPr>
                <w:rFonts w:ascii="Calibri" w:hAnsi="Calibri"/>
                <w:sz w:val="22"/>
                <w:szCs w:val="22"/>
              </w:rPr>
              <w:t>A1. L’évolution de la population est positive et permet d’espérer un « rattrapage » de la norme, la population actuelle atteignant au minimum 90% de la norme.</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gridSpan w:val="2"/>
            <w:vMerge/>
            <w:vAlign w:val="center"/>
          </w:tcPr>
          <w:p>
            <w:pPr>
              <w:jc w:val="center"/>
              <w:rPr>
                <w:rFonts w:ascii="Calibri" w:hAnsi="Calibri"/>
                <w:sz w:val="22"/>
                <w:szCs w:val="22"/>
              </w:rPr>
            </w:pPr>
          </w:p>
        </w:tc>
        <w:tc>
          <w:tcPr>
            <w:tcW w:w="2578" w:type="dxa"/>
          </w:tcPr>
          <w:p>
            <w:pPr>
              <w:rPr>
                <w:rFonts w:ascii="Calibri" w:hAnsi="Calibri"/>
                <w:sz w:val="22"/>
                <w:szCs w:val="22"/>
              </w:rPr>
            </w:pPr>
            <w:r>
              <w:rPr>
                <w:rFonts w:ascii="Calibri" w:hAnsi="Calibri"/>
                <w:sz w:val="22"/>
                <w:szCs w:val="22"/>
              </w:rPr>
              <w:t>A2. La fusion ou la restructuration envisagée est retardée au 1</w:t>
            </w:r>
            <w:r>
              <w:rPr>
                <w:rFonts w:ascii="Calibri" w:hAnsi="Calibri"/>
                <w:sz w:val="22"/>
                <w:szCs w:val="22"/>
                <w:vertAlign w:val="superscript"/>
              </w:rPr>
              <w:t>er</w:t>
            </w:r>
            <w:r>
              <w:rPr>
                <w:rFonts w:ascii="Calibri" w:hAnsi="Calibri"/>
                <w:sz w:val="22"/>
                <w:szCs w:val="22"/>
              </w:rPr>
              <w:t xml:space="preserve"> septembre suivant en raison de circonstances exceptionnelles.</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tc>
      </w:tr>
      <w:tr>
        <w:tc>
          <w:tcPr>
            <w:tcW w:w="2188" w:type="dxa"/>
            <w:gridSpan w:val="2"/>
            <w:vAlign w:val="center"/>
          </w:tcPr>
          <w:p>
            <w:pPr>
              <w:jc w:val="center"/>
              <w:rPr>
                <w:rFonts w:ascii="Calibri" w:hAnsi="Calibri"/>
                <w:sz w:val="22"/>
                <w:szCs w:val="22"/>
              </w:rPr>
            </w:pPr>
            <w:r>
              <w:rPr>
                <w:rFonts w:ascii="Calibri" w:hAnsi="Calibri"/>
                <w:sz w:val="22"/>
                <w:szCs w:val="22"/>
              </w:rPr>
              <w:t>B. Les spécificités des projets pédagogiques et éducatifs de l’établissement concerné</w:t>
            </w:r>
          </w:p>
        </w:tc>
        <w:tc>
          <w:tcPr>
            <w:tcW w:w="2578" w:type="dxa"/>
          </w:tcPr>
          <w:p>
            <w:pPr>
              <w:rPr>
                <w:rFonts w:ascii="Calibri" w:hAnsi="Calibri"/>
                <w:sz w:val="22"/>
                <w:szCs w:val="22"/>
              </w:rPr>
            </w:pPr>
            <w:r>
              <w:rPr>
                <w:rFonts w:ascii="Calibri" w:hAnsi="Calibri"/>
                <w:sz w:val="22"/>
                <w:szCs w:val="22"/>
              </w:rPr>
              <w:t>B1. L’établissement est seul de son genre  dans la zone à proposer tel ou tel  projet pédagogique ou éducatif.</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gridSpan w:val="2"/>
            <w:vAlign w:val="center"/>
          </w:tcPr>
          <w:p>
            <w:pPr>
              <w:jc w:val="center"/>
              <w:rPr>
                <w:rFonts w:ascii="Calibri" w:hAnsi="Calibri"/>
                <w:sz w:val="22"/>
                <w:szCs w:val="22"/>
              </w:rPr>
            </w:pPr>
            <w:r>
              <w:rPr>
                <w:rFonts w:ascii="Calibri" w:hAnsi="Calibri"/>
                <w:sz w:val="22"/>
                <w:szCs w:val="22"/>
              </w:rPr>
              <w:t>C. L’offre d’enseignement au sein de la zone dans laquelle se trouve l’établissement</w:t>
            </w:r>
          </w:p>
        </w:tc>
        <w:tc>
          <w:tcPr>
            <w:tcW w:w="2578" w:type="dxa"/>
          </w:tcPr>
          <w:p>
            <w:pPr>
              <w:rPr>
                <w:rFonts w:ascii="Calibri" w:hAnsi="Calibri"/>
                <w:sz w:val="22"/>
                <w:szCs w:val="22"/>
              </w:rPr>
            </w:pPr>
            <w:r>
              <w:rPr>
                <w:rFonts w:ascii="Calibri" w:hAnsi="Calibri"/>
                <w:sz w:val="22"/>
                <w:szCs w:val="22"/>
              </w:rPr>
              <w:t>C1. Il n’existe pas de possibilité de fusion ou de restructuration dans la zone ou à une distance raisonnable.</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18" w:type="dxa"/>
          <w:wAfter w:w="33" w:type="dxa"/>
        </w:trPr>
        <w:tc>
          <w:tcPr>
            <w:tcW w:w="10345" w:type="dxa"/>
            <w:gridSpan w:val="4"/>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799"/>
        <w:gridCol w:w="2629"/>
        <w:gridCol w:w="5400"/>
      </w:tblGrid>
      <w:tr>
        <w:trPr>
          <w:jc w:val="center"/>
        </w:trPr>
        <w:tc>
          <w:tcPr>
            <w:tcW w:w="1799"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b/>
                <w:bCs/>
                <w:i/>
                <w:iCs/>
              </w:rPr>
            </w:pPr>
            <w:r>
              <w:rPr>
                <w:lang w:val="fr-BE"/>
              </w:rPr>
              <w:br w:type="page"/>
            </w:r>
            <w:r>
              <w:rPr>
                <w:b/>
                <w:bCs/>
                <w:i/>
                <w:iCs/>
              </w:rPr>
              <w:br w:type="page"/>
            </w:r>
          </w:p>
          <w:p>
            <w:pPr>
              <w:pStyle w:val="Sansinterligne1"/>
              <w:spacing w:after="120"/>
              <w:jc w:val="center"/>
              <w:rPr>
                <w:rFonts w:cs="Arial"/>
                <w:b/>
              </w:rPr>
            </w:pPr>
            <w:r>
              <w:rPr>
                <w:rFonts w:cs="Arial"/>
                <w:b/>
              </w:rPr>
              <w:t>Annexe 5 bis</w:t>
            </w:r>
          </w:p>
          <w:p>
            <w:pPr>
              <w:pStyle w:val="Sansinterligne1"/>
              <w:spacing w:after="120"/>
              <w:jc w:val="center"/>
              <w:rPr>
                <w:rFonts w:cs="Arial"/>
                <w:b/>
              </w:rPr>
            </w:pPr>
          </w:p>
        </w:tc>
        <w:tc>
          <w:tcPr>
            <w:tcW w:w="2629"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pour le 3 avril 2020</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Signalisation de DEROGATION, consécutive à la fermeture d’une OBG,</w:t>
            </w:r>
          </w:p>
          <w:p>
            <w:pPr>
              <w:pStyle w:val="Sansinterligne1"/>
              <w:jc w:val="center"/>
              <w:rPr>
                <w:rFonts w:cs="Arial"/>
                <w:b/>
                <w:i/>
              </w:rPr>
            </w:pPr>
            <w:r>
              <w:rPr>
                <w:rFonts w:cs="Arial"/>
                <w:b/>
                <w:i/>
              </w:rPr>
              <w:t xml:space="preserve">à l’obligation de fermeture de l’établissement </w:t>
            </w:r>
          </w:p>
          <w:p>
            <w:pPr>
              <w:pStyle w:val="Sansinterligne1"/>
              <w:jc w:val="center"/>
              <w:rPr>
                <w:rFonts w:cs="Arial"/>
                <w:b/>
                <w:i/>
              </w:rPr>
            </w:pPr>
            <w:r>
              <w:rPr>
                <w:rFonts w:cs="Arial"/>
                <w:b/>
                <w:i/>
              </w:rPr>
              <w:t>qui participe au plan de redéploiement de la chambre « Enseignement » du IBEFE</w:t>
            </w:r>
          </w:p>
          <w:p>
            <w:pPr>
              <w:pStyle w:val="Sansinterligne1"/>
              <w:jc w:val="center"/>
              <w:rPr>
                <w:rFonts w:cs="Arial"/>
              </w:rPr>
            </w:pPr>
          </w:p>
        </w:tc>
      </w:tr>
    </w:tbl>
    <w:p>
      <w:pPr>
        <w:pStyle w:val="Sansinterligne1"/>
        <w:ind w:left="180"/>
        <w:jc w:val="both"/>
        <w:rPr>
          <w:rFonts w:cs="Arial"/>
        </w:rPr>
      </w:pPr>
    </w:p>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p>
    <w:p>
      <w:pPr>
        <w:ind w:left="426" w:right="561"/>
        <w:jc w:val="both"/>
        <w:rPr>
          <w:rFonts w:ascii="Calibri" w:hAnsi="Calibri"/>
          <w:i/>
          <w:sz w:val="22"/>
          <w:szCs w:val="22"/>
        </w:rPr>
      </w:pPr>
      <w:r>
        <w:rPr>
          <w:rFonts w:ascii="Calibri" w:hAnsi="Calibri"/>
          <w:i/>
          <w:sz w:val="22"/>
          <w:szCs w:val="22"/>
        </w:rPr>
        <w:t>signale aux services du Gouvernement, via le Conseil général de concertation de l’enseignement secondaire, le bénéfice de la mesure prévue à l’article 5quinquies, alinéa 3, du décret du 29 juillet 1992, tel que modifié (dérogation à l’obligation de fermeture d’un établissement).</w:t>
      </w:r>
    </w:p>
    <w:p>
      <w:pPr>
        <w:ind w:left="426" w:right="561"/>
        <w:rPr>
          <w:rFonts w:ascii="Calibri" w:hAnsi="Calibri"/>
          <w:i/>
          <w:sz w:val="22"/>
          <w:szCs w:val="22"/>
        </w:rPr>
      </w:pPr>
    </w:p>
    <w:p>
      <w:pPr>
        <w:ind w:left="426" w:right="561"/>
        <w:rPr>
          <w:rFonts w:ascii="Calibri" w:hAnsi="Calibri"/>
          <w:i/>
          <w:sz w:val="22"/>
          <w:szCs w:val="22"/>
        </w:rPr>
      </w:pPr>
      <w:r>
        <w:rPr>
          <w:rFonts w:ascii="Calibri" w:hAnsi="Calibri"/>
          <w:i/>
          <w:sz w:val="22"/>
          <w:szCs w:val="22"/>
        </w:rPr>
        <w:t>Les conditions pour bénéficier d’une telle dérogation sont explicitées ci-après:</w:t>
      </w:r>
    </w:p>
    <w:p>
      <w:pPr>
        <w:ind w:left="426" w:right="561"/>
        <w:rPr>
          <w:rFonts w:ascii="Calibri" w:hAnsi="Calibri"/>
          <w:i/>
          <w:sz w:val="22"/>
          <w:szCs w:val="22"/>
        </w:rPr>
      </w:pPr>
    </w:p>
    <w:p>
      <w:pPr>
        <w:numPr>
          <w:ilvl w:val="0"/>
          <w:numId w:val="8"/>
        </w:numPr>
        <w:ind w:right="561"/>
        <w:rPr>
          <w:rFonts w:ascii="Calibri" w:hAnsi="Calibri"/>
          <w:i/>
          <w:sz w:val="22"/>
          <w:szCs w:val="22"/>
        </w:rPr>
      </w:pPr>
      <w:r>
        <w:rPr>
          <w:rFonts w:ascii="Calibri" w:hAnsi="Calibri"/>
          <w:i/>
          <w:sz w:val="22"/>
          <w:szCs w:val="22"/>
        </w:rPr>
        <w:t xml:space="preserve">Etre inscrit dans les plans de redéploiement de la chambre « Enseignement » du IBEFE; </w:t>
      </w:r>
    </w:p>
    <w:p>
      <w:pPr>
        <w:numPr>
          <w:ilvl w:val="0"/>
          <w:numId w:val="8"/>
        </w:numPr>
        <w:ind w:left="426" w:right="561" w:firstLine="0"/>
        <w:rPr>
          <w:rFonts w:ascii="Calibri" w:hAnsi="Calibri"/>
          <w:i/>
          <w:sz w:val="22"/>
          <w:szCs w:val="22"/>
        </w:rPr>
      </w:pPr>
      <w:r>
        <w:rPr>
          <w:rFonts w:ascii="Calibri" w:hAnsi="Calibri"/>
          <w:i/>
          <w:sz w:val="22"/>
          <w:szCs w:val="22"/>
        </w:rPr>
        <w:t>Avoir fermé une OBG (copie de l’annexe 4. 1 de la circulaire 7233 du 11 juillet 2019).</w:t>
      </w:r>
    </w:p>
    <w:p>
      <w:pPr>
        <w:ind w:right="561"/>
        <w:rPr>
          <w:rFonts w:ascii="Calibri" w:hAnsi="Calibri"/>
          <w:i/>
          <w:sz w:val="22"/>
          <w:szCs w:val="22"/>
        </w:rPr>
      </w:pPr>
    </w:p>
    <w:p>
      <w:pPr>
        <w:ind w:right="561"/>
        <w:rPr>
          <w:rFonts w:ascii="Calibri" w:hAnsi="Calibri"/>
          <w:i/>
          <w:sz w:val="22"/>
          <w:szCs w:val="22"/>
        </w:rPr>
      </w:pPr>
    </w:p>
    <w:p>
      <w:pPr>
        <w:ind w:left="426" w:right="561"/>
        <w:rPr>
          <w:rFonts w:ascii="Calibri" w:hAnsi="Calibri"/>
          <w:i/>
          <w:sz w:val="22"/>
          <w:szCs w:val="22"/>
        </w:rPr>
      </w:pPr>
    </w:p>
    <w:p>
      <w:pPr>
        <w:ind w:left="426" w:right="561"/>
        <w:rPr>
          <w:rFonts w:ascii="Calibri" w:hAnsi="Calibri"/>
          <w:i/>
          <w:sz w:val="22"/>
          <w:szCs w:val="22"/>
        </w:rPr>
      </w:pPr>
    </w:p>
    <w:p>
      <w:pPr>
        <w:ind w:left="426" w:right="561"/>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b/>
                <w:bCs/>
                <w:i/>
                <w:iCs/>
              </w:rPr>
              <w:br w:type="page"/>
            </w:r>
            <w:r>
              <w:rPr>
                <w:rFonts w:cs="Arial"/>
                <w:b/>
              </w:rPr>
              <w:t>Annexe 6</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date recommandée 3 avril 2020 et avant fin de l’année scolaire 2019-2020</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 xml:space="preserve">Demande d‘AUTORISATION de restructuration de plusieurs établissements </w:t>
            </w:r>
          </w:p>
          <w:p>
            <w:pPr>
              <w:pStyle w:val="Sansinterligne1"/>
              <w:jc w:val="center"/>
              <w:rPr>
                <w:rFonts w:cs="Arial"/>
              </w:rPr>
            </w:pPr>
          </w:p>
        </w:tc>
      </w:tr>
    </w:tbl>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jc w:val="both"/>
        <w:rPr>
          <w:rFonts w:cs="Arial"/>
        </w:rPr>
      </w:pPr>
    </w:p>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autorisation conforme aux dispositions de l’article 5quater, §1</w:t>
      </w:r>
      <w:r>
        <w:rPr>
          <w:rFonts w:ascii="Calibri" w:hAnsi="Calibri"/>
          <w:i/>
          <w:sz w:val="22"/>
          <w:szCs w:val="22"/>
          <w:vertAlign w:val="superscript"/>
        </w:rPr>
        <w:t>er</w:t>
      </w:r>
      <w:r>
        <w:rPr>
          <w:rFonts w:ascii="Calibri" w:hAnsi="Calibri"/>
          <w:i/>
          <w:sz w:val="22"/>
          <w:szCs w:val="22"/>
        </w:rPr>
        <w:t>, du décret du 29 juillet 1992, tel que modifié (autorisation de restructuration des plusieurs établissements).</w:t>
      </w:r>
    </w:p>
    <w:p>
      <w:pPr>
        <w:rPr>
          <w:rFonts w:ascii="Calibri" w:hAnsi="Calibri"/>
          <w:i/>
          <w:sz w:val="22"/>
          <w:szCs w:val="22"/>
        </w:rPr>
      </w:pPr>
    </w:p>
    <w:p>
      <w:pPr>
        <w:rPr>
          <w:rFonts w:ascii="Calibri" w:hAnsi="Calibri"/>
          <w:i/>
          <w:sz w:val="22"/>
          <w:szCs w:val="22"/>
        </w:rPr>
      </w:pPr>
      <w:r>
        <w:rPr>
          <w:rFonts w:ascii="Calibri" w:hAnsi="Calibri"/>
          <w:i/>
          <w:sz w:val="22"/>
          <w:szCs w:val="22"/>
        </w:rPr>
        <w:t>Les raisons de cette demande sont explicitées ci-dessous:</w:t>
      </w:r>
    </w:p>
    <w:p>
      <w:pPr>
        <w:jc w:val="both"/>
        <w:rPr>
          <w:rFonts w:ascii="Calibri" w:hAnsi="Calibri"/>
          <w:sz w:val="22"/>
          <w:szCs w:val="22"/>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2578"/>
        <w:gridCol w:w="1985"/>
        <w:gridCol w:w="3645"/>
      </w:tblGrid>
      <w:tr>
        <w:tc>
          <w:tcPr>
            <w:tcW w:w="2188" w:type="dxa"/>
          </w:tcPr>
          <w:p>
            <w:pPr>
              <w:jc w:val="center"/>
              <w:rPr>
                <w:rFonts w:ascii="Calibri" w:hAnsi="Calibri"/>
                <w:b/>
                <w:sz w:val="22"/>
                <w:szCs w:val="22"/>
              </w:rPr>
            </w:pPr>
            <w:r>
              <w:rPr>
                <w:rFonts w:ascii="Calibri" w:hAnsi="Calibri"/>
                <w:b/>
                <w:sz w:val="22"/>
                <w:szCs w:val="22"/>
              </w:rPr>
              <w:t>Critères du décret</w:t>
            </w:r>
          </w:p>
        </w:tc>
        <w:tc>
          <w:tcPr>
            <w:tcW w:w="2578" w:type="dxa"/>
          </w:tcPr>
          <w:p>
            <w:pPr>
              <w:jc w:val="center"/>
              <w:rPr>
                <w:rFonts w:ascii="Calibri" w:hAnsi="Calibri"/>
                <w:b/>
                <w:sz w:val="22"/>
                <w:szCs w:val="22"/>
              </w:rPr>
            </w:pPr>
            <w:r>
              <w:rPr>
                <w:rFonts w:ascii="Calibri" w:hAnsi="Calibri"/>
                <w:b/>
                <w:sz w:val="22"/>
                <w:szCs w:val="22"/>
              </w:rPr>
              <w:t>Indicateurs</w:t>
            </w:r>
          </w:p>
        </w:tc>
        <w:tc>
          <w:tcPr>
            <w:tcW w:w="1985" w:type="dxa"/>
          </w:tcPr>
          <w:p>
            <w:pPr>
              <w:jc w:val="center"/>
              <w:rPr>
                <w:rFonts w:ascii="Calibri" w:hAnsi="Calibri"/>
                <w:b/>
                <w:sz w:val="22"/>
                <w:szCs w:val="22"/>
              </w:rPr>
            </w:pPr>
            <w:r>
              <w:rPr>
                <w:rFonts w:ascii="Calibri" w:hAnsi="Calibri"/>
                <w:b/>
                <w:sz w:val="22"/>
                <w:szCs w:val="22"/>
              </w:rPr>
              <w:t>Indicateur(s) retenu(s) (à cocher)</w:t>
            </w:r>
          </w:p>
        </w:tc>
        <w:tc>
          <w:tcPr>
            <w:tcW w:w="3645" w:type="dxa"/>
            <w:vAlign w:val="center"/>
          </w:tcPr>
          <w:p>
            <w:pPr>
              <w:jc w:val="center"/>
              <w:rPr>
                <w:rFonts w:ascii="Calibri" w:hAnsi="Calibri"/>
                <w:b/>
                <w:sz w:val="22"/>
                <w:szCs w:val="22"/>
              </w:rPr>
            </w:pPr>
            <w:r>
              <w:rPr>
                <w:rFonts w:ascii="Calibri" w:hAnsi="Calibri"/>
                <w:b/>
                <w:sz w:val="22"/>
                <w:szCs w:val="22"/>
              </w:rPr>
              <w:t>Motivations</w:t>
            </w:r>
          </w:p>
        </w:tc>
      </w:tr>
      <w:tr>
        <w:tc>
          <w:tcPr>
            <w:tcW w:w="2188" w:type="dxa"/>
            <w:vAlign w:val="center"/>
          </w:tcPr>
          <w:p>
            <w:pPr>
              <w:jc w:val="center"/>
              <w:rPr>
                <w:rFonts w:ascii="Calibri" w:hAnsi="Calibri"/>
                <w:sz w:val="22"/>
                <w:szCs w:val="22"/>
              </w:rPr>
            </w:pPr>
            <w:r>
              <w:rPr>
                <w:rFonts w:ascii="Calibri" w:hAnsi="Calibri"/>
                <w:sz w:val="22"/>
                <w:szCs w:val="22"/>
              </w:rPr>
              <w:t>A. L’évolution de la population scolaire totale, par degré ou par option</w:t>
            </w:r>
          </w:p>
        </w:tc>
        <w:tc>
          <w:tcPr>
            <w:tcW w:w="2578" w:type="dxa"/>
          </w:tcPr>
          <w:p>
            <w:pPr>
              <w:rPr>
                <w:rFonts w:ascii="Calibri" w:hAnsi="Calibri"/>
                <w:sz w:val="22"/>
                <w:szCs w:val="22"/>
              </w:rPr>
            </w:pPr>
            <w:r>
              <w:rPr>
                <w:rFonts w:ascii="Calibri" w:hAnsi="Calibri"/>
                <w:sz w:val="22"/>
                <w:szCs w:val="22"/>
              </w:rPr>
              <w:t>A1. La restructuration permet d’avoir une population scolaire assurant une garantie de viabilité dans l’(les) établissement(s) restructuré(s).</w:t>
            </w:r>
          </w:p>
        </w:tc>
        <w:tc>
          <w:tcPr>
            <w:tcW w:w="1985" w:type="dxa"/>
          </w:tcPr>
          <w:p>
            <w:pPr>
              <w:rPr>
                <w:rFonts w:ascii="Calibri" w:hAnsi="Calibri"/>
                <w:sz w:val="22"/>
                <w:szCs w:val="22"/>
              </w:rPr>
            </w:pPr>
          </w:p>
        </w:tc>
        <w:tc>
          <w:tcPr>
            <w:tcW w:w="3645"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Align w:val="center"/>
          </w:tcPr>
          <w:p>
            <w:pPr>
              <w:jc w:val="center"/>
              <w:rPr>
                <w:rFonts w:ascii="Calibri" w:hAnsi="Calibri"/>
                <w:sz w:val="22"/>
                <w:szCs w:val="22"/>
              </w:rPr>
            </w:pPr>
            <w:r>
              <w:rPr>
                <w:rFonts w:ascii="Calibri" w:hAnsi="Calibri"/>
                <w:sz w:val="22"/>
                <w:szCs w:val="22"/>
              </w:rPr>
              <w:t>B. Les spécificités des projets pédagogiques et éducatifs de l’établissement concerné</w:t>
            </w:r>
          </w:p>
        </w:tc>
        <w:tc>
          <w:tcPr>
            <w:tcW w:w="2578" w:type="dxa"/>
          </w:tcPr>
          <w:p>
            <w:pPr>
              <w:rPr>
                <w:rFonts w:ascii="Calibri" w:hAnsi="Calibri"/>
                <w:sz w:val="22"/>
                <w:szCs w:val="22"/>
              </w:rPr>
            </w:pPr>
            <w:r>
              <w:rPr>
                <w:rFonts w:ascii="Calibri" w:hAnsi="Calibri"/>
                <w:sz w:val="22"/>
                <w:szCs w:val="22"/>
              </w:rPr>
              <w:t>B1. La restructuration permet de sauvegarder un projet éducatif et pédagogique particulier.</w:t>
            </w:r>
          </w:p>
        </w:tc>
        <w:tc>
          <w:tcPr>
            <w:tcW w:w="1985" w:type="dxa"/>
          </w:tcPr>
          <w:p>
            <w:pPr>
              <w:rPr>
                <w:rFonts w:ascii="Calibri" w:hAnsi="Calibri"/>
                <w:sz w:val="22"/>
                <w:szCs w:val="22"/>
              </w:rPr>
            </w:pPr>
          </w:p>
        </w:tc>
        <w:tc>
          <w:tcPr>
            <w:tcW w:w="3645"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Align w:val="center"/>
          </w:tcPr>
          <w:p>
            <w:pPr>
              <w:jc w:val="center"/>
              <w:rPr>
                <w:rFonts w:ascii="Calibri" w:hAnsi="Calibri"/>
                <w:sz w:val="22"/>
                <w:szCs w:val="22"/>
              </w:rPr>
            </w:pPr>
            <w:r>
              <w:rPr>
                <w:rFonts w:ascii="Calibri" w:hAnsi="Calibri"/>
                <w:sz w:val="22"/>
                <w:szCs w:val="22"/>
              </w:rPr>
              <w:t>C. L’offre d’enseignement au sein de la zone dans laquelle se trouve l’établissement</w:t>
            </w:r>
          </w:p>
        </w:tc>
        <w:tc>
          <w:tcPr>
            <w:tcW w:w="2578" w:type="dxa"/>
          </w:tcPr>
          <w:p>
            <w:pPr>
              <w:rPr>
                <w:rFonts w:ascii="Calibri" w:hAnsi="Calibri"/>
                <w:sz w:val="22"/>
                <w:szCs w:val="22"/>
              </w:rPr>
            </w:pPr>
            <w:r>
              <w:rPr>
                <w:rFonts w:ascii="Calibri" w:hAnsi="Calibri"/>
                <w:sz w:val="22"/>
                <w:szCs w:val="22"/>
              </w:rPr>
              <w:t>C1. La restructuration ne modifie pas l’offre globale dans la zone ou dans les zones concernée(s), en cas de restructuration d’établissements appartenant à des zones contiguës.</w:t>
            </w:r>
          </w:p>
        </w:tc>
        <w:tc>
          <w:tcPr>
            <w:tcW w:w="1985" w:type="dxa"/>
          </w:tcPr>
          <w:p>
            <w:pPr>
              <w:rPr>
                <w:rFonts w:ascii="Calibri" w:hAnsi="Calibri"/>
                <w:sz w:val="22"/>
                <w:szCs w:val="22"/>
              </w:rPr>
            </w:pPr>
          </w:p>
        </w:tc>
        <w:tc>
          <w:tcPr>
            <w:tcW w:w="3645"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bl>
    <w:p>
      <w:pPr>
        <w:rPr>
          <w:rFonts w:ascii="Calibri" w:hAnsi="Calibri"/>
          <w:i/>
          <w:sz w:val="22"/>
          <w:szCs w:val="22"/>
        </w:rPr>
      </w:pP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7</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xml:space="preserve"> : date recommandée 3 avril 2020 et avant fin de l’année scolaire 2019-2020 </w:t>
            </w:r>
          </w:p>
          <w:p>
            <w:pPr>
              <w:pStyle w:val="Sansinterligne1"/>
              <w:spacing w:before="60" w:after="60"/>
              <w:jc w:val="center"/>
              <w:rPr>
                <w:rFonts w:cs="Arial"/>
                <w:b/>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 xml:space="preserve">Demande d’autorisation de restructuration de plusieurs établissements </w:t>
            </w:r>
          </w:p>
          <w:p>
            <w:pPr>
              <w:pStyle w:val="Sansinterligne1"/>
              <w:jc w:val="center"/>
              <w:rPr>
                <w:rFonts w:cs="Arial"/>
              </w:rPr>
            </w:pPr>
            <w:r>
              <w:rPr>
                <w:rFonts w:cs="Arial"/>
                <w:b/>
                <w:i/>
              </w:rPr>
              <w:t>avec émergence d’un DOA</w:t>
            </w:r>
          </w:p>
        </w:tc>
      </w:tr>
    </w:tbl>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autorisation conforme aux dispositions de l’article 5quater, §1</w:t>
      </w:r>
      <w:r>
        <w:rPr>
          <w:rFonts w:ascii="Calibri" w:hAnsi="Calibri"/>
          <w:i/>
          <w:sz w:val="22"/>
          <w:szCs w:val="22"/>
          <w:vertAlign w:val="superscript"/>
        </w:rPr>
        <w:t>er</w:t>
      </w:r>
      <w:r>
        <w:rPr>
          <w:rFonts w:ascii="Calibri" w:hAnsi="Calibri"/>
          <w:i/>
          <w:sz w:val="22"/>
          <w:szCs w:val="22"/>
        </w:rPr>
        <w:t>, al.4, du décret du 29 juillet 1992, tel que modifié (autorisation de restructuration de plusieurs établissements avec émergence d’un DOA).</w:t>
      </w:r>
    </w:p>
    <w:p>
      <w:pPr>
        <w:rPr>
          <w:rFonts w:ascii="Calibri" w:hAnsi="Calibri"/>
          <w:i/>
          <w:sz w:val="22"/>
          <w:szCs w:val="22"/>
        </w:rPr>
      </w:pPr>
    </w:p>
    <w:p>
      <w:pPr>
        <w:rPr>
          <w:rFonts w:ascii="Calibri" w:hAnsi="Calibri"/>
          <w:sz w:val="22"/>
          <w:szCs w:val="22"/>
        </w:rPr>
      </w:pPr>
      <w:r>
        <w:rPr>
          <w:rFonts w:ascii="Calibri" w:hAnsi="Calibri"/>
          <w:i/>
          <w:sz w:val="22"/>
          <w:szCs w:val="22"/>
        </w:rPr>
        <w:t>Les raisons de cette demande sont explicitées ci-dessous:</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2720"/>
        <w:gridCol w:w="1984"/>
        <w:gridCol w:w="3504"/>
      </w:tblGrid>
      <w:tr>
        <w:tc>
          <w:tcPr>
            <w:tcW w:w="2188" w:type="dxa"/>
          </w:tcPr>
          <w:p>
            <w:pPr>
              <w:jc w:val="center"/>
              <w:rPr>
                <w:rFonts w:ascii="Calibri" w:hAnsi="Calibri"/>
                <w:b/>
                <w:sz w:val="22"/>
                <w:szCs w:val="22"/>
              </w:rPr>
            </w:pPr>
            <w:r>
              <w:rPr>
                <w:rFonts w:ascii="Calibri" w:hAnsi="Calibri"/>
                <w:b/>
                <w:sz w:val="22"/>
                <w:szCs w:val="22"/>
              </w:rPr>
              <w:t>Critères du décret</w:t>
            </w:r>
          </w:p>
        </w:tc>
        <w:tc>
          <w:tcPr>
            <w:tcW w:w="2720" w:type="dxa"/>
          </w:tcPr>
          <w:p>
            <w:pPr>
              <w:jc w:val="center"/>
              <w:rPr>
                <w:rFonts w:ascii="Calibri" w:hAnsi="Calibri"/>
                <w:b/>
                <w:sz w:val="22"/>
                <w:szCs w:val="22"/>
              </w:rPr>
            </w:pPr>
            <w:r>
              <w:rPr>
                <w:rFonts w:ascii="Calibri" w:hAnsi="Calibri"/>
                <w:b/>
                <w:sz w:val="22"/>
                <w:szCs w:val="22"/>
              </w:rPr>
              <w:t>Indicateurs</w:t>
            </w:r>
          </w:p>
        </w:tc>
        <w:tc>
          <w:tcPr>
            <w:tcW w:w="1984" w:type="dxa"/>
          </w:tcPr>
          <w:p>
            <w:pPr>
              <w:jc w:val="center"/>
              <w:rPr>
                <w:rFonts w:ascii="Calibri" w:hAnsi="Calibri"/>
                <w:b/>
                <w:sz w:val="22"/>
                <w:szCs w:val="22"/>
              </w:rPr>
            </w:pPr>
            <w:r>
              <w:rPr>
                <w:rFonts w:ascii="Calibri" w:hAnsi="Calibri"/>
                <w:b/>
                <w:sz w:val="22"/>
                <w:szCs w:val="22"/>
              </w:rPr>
              <w:t>Indicateur(s) retenu(s) (à cocher)</w:t>
            </w:r>
          </w:p>
        </w:tc>
        <w:tc>
          <w:tcPr>
            <w:tcW w:w="3504" w:type="dxa"/>
            <w:vAlign w:val="center"/>
          </w:tcPr>
          <w:p>
            <w:pPr>
              <w:jc w:val="center"/>
              <w:rPr>
                <w:rFonts w:ascii="Calibri" w:hAnsi="Calibri"/>
                <w:b/>
                <w:sz w:val="22"/>
                <w:szCs w:val="22"/>
              </w:rPr>
            </w:pPr>
            <w:r>
              <w:rPr>
                <w:rFonts w:ascii="Calibri" w:hAnsi="Calibri"/>
                <w:b/>
                <w:sz w:val="22"/>
                <w:szCs w:val="22"/>
              </w:rPr>
              <w:t>Motivations</w:t>
            </w:r>
          </w:p>
        </w:tc>
      </w:tr>
      <w:tr>
        <w:tc>
          <w:tcPr>
            <w:tcW w:w="2188" w:type="dxa"/>
            <w:vAlign w:val="center"/>
          </w:tcPr>
          <w:p>
            <w:pPr>
              <w:jc w:val="center"/>
              <w:rPr>
                <w:rFonts w:ascii="Calibri" w:hAnsi="Calibri"/>
                <w:sz w:val="22"/>
                <w:szCs w:val="22"/>
              </w:rPr>
            </w:pPr>
            <w:r>
              <w:rPr>
                <w:rFonts w:ascii="Calibri" w:hAnsi="Calibri"/>
                <w:sz w:val="22"/>
                <w:szCs w:val="22"/>
              </w:rPr>
              <w:t>A. L’évolution de la population scolaire totale, par degré ou par option</w:t>
            </w:r>
          </w:p>
        </w:tc>
        <w:tc>
          <w:tcPr>
            <w:tcW w:w="2720" w:type="dxa"/>
          </w:tcPr>
          <w:p>
            <w:pPr>
              <w:rPr>
                <w:rFonts w:ascii="Calibri" w:hAnsi="Calibri"/>
                <w:sz w:val="22"/>
                <w:szCs w:val="22"/>
              </w:rPr>
            </w:pPr>
            <w:r>
              <w:rPr>
                <w:rFonts w:ascii="Calibri" w:hAnsi="Calibri"/>
                <w:sz w:val="22"/>
                <w:szCs w:val="22"/>
              </w:rPr>
              <w:t>A1. La restructuration permet d’avoir une population scolaire assurant une garantie de viabilité dans l’(les) établissement(s) restructuré(s).</w:t>
            </w:r>
          </w:p>
        </w:tc>
        <w:tc>
          <w:tcPr>
            <w:tcW w:w="1984" w:type="dxa"/>
          </w:tcPr>
          <w:p>
            <w:pPr>
              <w:rPr>
                <w:rFonts w:ascii="Calibri" w:hAnsi="Calibri"/>
                <w:sz w:val="22"/>
                <w:szCs w:val="22"/>
              </w:rPr>
            </w:pPr>
          </w:p>
        </w:tc>
        <w:tc>
          <w:tcPr>
            <w:tcW w:w="3504"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rPr>
          <w:trHeight w:val="944"/>
        </w:trPr>
        <w:tc>
          <w:tcPr>
            <w:tcW w:w="2188" w:type="dxa"/>
            <w:vMerge w:val="restart"/>
            <w:vAlign w:val="center"/>
          </w:tcPr>
          <w:p>
            <w:pPr>
              <w:jc w:val="center"/>
              <w:rPr>
                <w:rFonts w:ascii="Calibri" w:hAnsi="Calibri"/>
                <w:sz w:val="22"/>
                <w:szCs w:val="22"/>
              </w:rPr>
            </w:pPr>
            <w:r>
              <w:rPr>
                <w:rFonts w:ascii="Calibri" w:hAnsi="Calibri"/>
                <w:sz w:val="22"/>
                <w:szCs w:val="22"/>
              </w:rPr>
              <w:t>B. Les spécificités des projets pédagogiques et éducatifs de l’établissement concerné</w:t>
            </w:r>
          </w:p>
        </w:tc>
        <w:tc>
          <w:tcPr>
            <w:tcW w:w="2720" w:type="dxa"/>
          </w:tcPr>
          <w:p>
            <w:pPr>
              <w:rPr>
                <w:rFonts w:ascii="Calibri" w:hAnsi="Calibri"/>
                <w:sz w:val="22"/>
                <w:szCs w:val="22"/>
              </w:rPr>
            </w:pPr>
            <w:r>
              <w:rPr>
                <w:rFonts w:ascii="Calibri" w:hAnsi="Calibri"/>
                <w:sz w:val="22"/>
                <w:szCs w:val="22"/>
              </w:rPr>
              <w:t>B1. La restructuration permet de sauvegarder un projet éducatif et pédagogique particulier.</w:t>
            </w:r>
          </w:p>
        </w:tc>
        <w:tc>
          <w:tcPr>
            <w:tcW w:w="1984" w:type="dxa"/>
          </w:tcPr>
          <w:p>
            <w:pPr>
              <w:rPr>
                <w:rFonts w:ascii="Calibri" w:hAnsi="Calibri"/>
                <w:sz w:val="22"/>
                <w:szCs w:val="22"/>
              </w:rPr>
            </w:pPr>
          </w:p>
        </w:tc>
        <w:tc>
          <w:tcPr>
            <w:tcW w:w="3504"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Merge/>
            <w:vAlign w:val="center"/>
          </w:tcPr>
          <w:p>
            <w:pPr>
              <w:jc w:val="center"/>
              <w:rPr>
                <w:rFonts w:ascii="Calibri" w:hAnsi="Calibri"/>
                <w:sz w:val="22"/>
                <w:szCs w:val="22"/>
              </w:rPr>
            </w:pPr>
          </w:p>
        </w:tc>
        <w:tc>
          <w:tcPr>
            <w:tcW w:w="2720" w:type="dxa"/>
          </w:tcPr>
          <w:p>
            <w:pPr>
              <w:rPr>
                <w:rFonts w:ascii="Calibri" w:hAnsi="Calibri"/>
                <w:sz w:val="22"/>
                <w:szCs w:val="22"/>
              </w:rPr>
            </w:pPr>
            <w:r>
              <w:rPr>
                <w:rFonts w:ascii="Calibri" w:hAnsi="Calibri"/>
                <w:sz w:val="22"/>
                <w:szCs w:val="22"/>
              </w:rPr>
              <w:t>B2. Le projet de DOA correspond aux finalités telles qu’exprimées dans les commentaires du décret du 19 juillet 2011.</w:t>
            </w:r>
          </w:p>
        </w:tc>
        <w:tc>
          <w:tcPr>
            <w:tcW w:w="1984" w:type="dxa"/>
          </w:tcPr>
          <w:p>
            <w:pPr>
              <w:rPr>
                <w:rFonts w:ascii="Calibri" w:hAnsi="Calibri"/>
                <w:sz w:val="22"/>
                <w:szCs w:val="22"/>
              </w:rPr>
            </w:pPr>
          </w:p>
        </w:tc>
        <w:tc>
          <w:tcPr>
            <w:tcW w:w="3504" w:type="dxa"/>
            <w:vAlign w:val="center"/>
          </w:tcPr>
          <w:p>
            <w:pPr>
              <w:rPr>
                <w:rFonts w:ascii="Calibri" w:hAnsi="Calibri"/>
                <w:sz w:val="22"/>
                <w:szCs w:val="22"/>
              </w:rPr>
            </w:pPr>
          </w:p>
        </w:tc>
      </w:tr>
      <w:tr>
        <w:tc>
          <w:tcPr>
            <w:tcW w:w="2188" w:type="dxa"/>
            <w:vAlign w:val="center"/>
          </w:tcPr>
          <w:p>
            <w:pPr>
              <w:jc w:val="center"/>
              <w:rPr>
                <w:rFonts w:ascii="Calibri" w:hAnsi="Calibri"/>
                <w:sz w:val="22"/>
                <w:szCs w:val="22"/>
              </w:rPr>
            </w:pPr>
            <w:r>
              <w:rPr>
                <w:rFonts w:ascii="Calibri" w:hAnsi="Calibri"/>
                <w:sz w:val="22"/>
                <w:szCs w:val="22"/>
              </w:rPr>
              <w:t>C. L’offre d’enseignement au sein de la zone dans laquelle se trouve l’établissement</w:t>
            </w:r>
          </w:p>
        </w:tc>
        <w:tc>
          <w:tcPr>
            <w:tcW w:w="2720" w:type="dxa"/>
          </w:tcPr>
          <w:p>
            <w:pPr>
              <w:rPr>
                <w:rFonts w:ascii="Calibri" w:hAnsi="Calibri"/>
                <w:sz w:val="22"/>
                <w:szCs w:val="22"/>
              </w:rPr>
            </w:pPr>
            <w:r>
              <w:rPr>
                <w:rFonts w:ascii="Calibri" w:hAnsi="Calibri"/>
                <w:sz w:val="22"/>
                <w:szCs w:val="22"/>
              </w:rPr>
              <w:t>C1. La restructuration ne modifie pas l’offre globale dans la zone ou dans les zones concernée(s), en cas de restructuration d’établissements appartenant à des zones contiguës.</w:t>
            </w:r>
          </w:p>
        </w:tc>
        <w:tc>
          <w:tcPr>
            <w:tcW w:w="1984" w:type="dxa"/>
          </w:tcPr>
          <w:p>
            <w:pPr>
              <w:rPr>
                <w:rFonts w:ascii="Calibri" w:hAnsi="Calibri"/>
                <w:sz w:val="22"/>
                <w:szCs w:val="22"/>
              </w:rPr>
            </w:pPr>
          </w:p>
        </w:tc>
        <w:tc>
          <w:tcPr>
            <w:tcW w:w="3504" w:type="dxa"/>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bl>
    <w:p>
      <w:pPr>
        <w:rPr>
          <w:rFonts w:ascii="Calibri" w:hAnsi="Calibri"/>
          <w:i/>
          <w:sz w:val="22"/>
          <w:szCs w:val="22"/>
        </w:rPr>
      </w:pPr>
    </w:p>
    <w:p>
      <w:pPr>
        <w:rPr>
          <w:rFonts w:ascii="Calibri" w:hAnsi="Calibri"/>
          <w:i/>
          <w:sz w:val="22"/>
          <w:szCs w:val="22"/>
        </w:rPr>
      </w:pPr>
    </w:p>
    <w:p>
      <w:pPr>
        <w:rPr>
          <w:rFonts w:ascii="Calibri" w:hAnsi="Calibri"/>
          <w:i/>
          <w:sz w:val="22"/>
          <w:szCs w:val="22"/>
        </w:rPr>
      </w:pPr>
      <w:r>
        <w:rPr>
          <w:rFonts w:ascii="Calibri" w:hAnsi="Calibri"/>
          <w:i/>
          <w:sz w:val="22"/>
          <w:szCs w:val="22"/>
        </w:rPr>
        <w:t xml:space="preserve">Verso de l’annexe 7 </w:t>
      </w: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i/>
          <w:sz w:val="22"/>
          <w:szCs w:val="22"/>
        </w:rPr>
      </w:pPr>
    </w:p>
    <w:p>
      <w:pPr>
        <w:rPr>
          <w:rFonts w:ascii="Calibri" w:hAnsi="Calibri"/>
          <w:bCs/>
          <w:sz w:val="22"/>
          <w:szCs w:val="22"/>
        </w:rPr>
      </w:pPr>
      <w:r>
        <w:rPr>
          <w:rFonts w:ascii="Calibri" w:hAnsi="Calibri"/>
          <w:bCs/>
          <w:sz w:val="22"/>
          <w:szCs w:val="22"/>
        </w:rPr>
        <w:t xml:space="preserve">Le demande de restructuration doit être introduite selon les modalités suivantes </w:t>
      </w:r>
      <w:r>
        <w:rPr>
          <w:rStyle w:val="Appelnotedebasdep"/>
          <w:rFonts w:ascii="Calibri" w:hAnsi="Calibri"/>
          <w:bCs/>
          <w:sz w:val="22"/>
          <w:szCs w:val="22"/>
        </w:rPr>
        <w:footnoteReference w:id="2"/>
      </w:r>
      <w:r>
        <w:rPr>
          <w:rFonts w:ascii="Calibri" w:hAnsi="Calibri"/>
          <w:bCs/>
          <w:sz w:val="22"/>
          <w:szCs w:val="22"/>
        </w:rPr>
        <w:t>:</w:t>
      </w:r>
    </w:p>
    <w:p>
      <w:pPr>
        <w:rPr>
          <w:rFonts w:ascii="Calibri" w:hAnsi="Calibri"/>
          <w:bCs/>
          <w:sz w:val="22"/>
          <w:szCs w:val="22"/>
        </w:rPr>
      </w:pPr>
    </w:p>
    <w:p>
      <w:pPr>
        <w:numPr>
          <w:ilvl w:val="0"/>
          <w:numId w:val="4"/>
        </w:numPr>
        <w:jc w:val="both"/>
        <w:rPr>
          <w:rFonts w:ascii="Calibri" w:hAnsi="Calibri"/>
          <w:bCs/>
          <w:sz w:val="22"/>
          <w:szCs w:val="22"/>
        </w:rPr>
      </w:pPr>
      <w:r>
        <w:rPr>
          <w:rFonts w:ascii="Calibri" w:hAnsi="Calibri"/>
          <w:bCs/>
          <w:sz w:val="22"/>
          <w:szCs w:val="22"/>
        </w:rPr>
        <w:t>identification des établissements concernés par la restructuration : coordonnées administratives complètes (adresse + n°FASE) des établissements concernés et de leurs diverses implantations ; population au 15 janvier des 3 années scolaires précédentes par implantation, degré, forme et section ; population au 1er octobre de l’année scolaire en cours par implantation, degré, forme et section ;</w:t>
      </w:r>
    </w:p>
    <w:p>
      <w:pPr>
        <w:numPr>
          <w:ilvl w:val="0"/>
          <w:numId w:val="4"/>
        </w:numPr>
        <w:jc w:val="both"/>
        <w:rPr>
          <w:rFonts w:ascii="Calibri" w:hAnsi="Calibri"/>
          <w:bCs/>
          <w:sz w:val="22"/>
          <w:szCs w:val="22"/>
        </w:rPr>
      </w:pPr>
      <w:r>
        <w:rPr>
          <w:rFonts w:ascii="Calibri" w:hAnsi="Calibri"/>
          <w:bCs/>
          <w:sz w:val="22"/>
          <w:szCs w:val="22"/>
        </w:rPr>
        <w:t>proposition de structure des établissements après restructuration avec populations simulées sur base du comptage du 15 janvier de l’année scolaire précédente, par implantation, degré, forme et section ;</w:t>
      </w:r>
    </w:p>
    <w:p>
      <w:pPr>
        <w:numPr>
          <w:ilvl w:val="0"/>
          <w:numId w:val="4"/>
        </w:numPr>
        <w:jc w:val="both"/>
        <w:rPr>
          <w:rFonts w:ascii="Calibri" w:hAnsi="Calibri"/>
          <w:bCs/>
          <w:sz w:val="22"/>
          <w:szCs w:val="22"/>
        </w:rPr>
      </w:pPr>
      <w:r>
        <w:rPr>
          <w:rFonts w:ascii="Calibri" w:hAnsi="Calibri"/>
          <w:bCs/>
          <w:sz w:val="22"/>
          <w:szCs w:val="22"/>
        </w:rPr>
        <w:t>le cas échéant : indication de l’établissement ou des établissements qui disparaît (disparaissent) dans l’opération de restructuration ;</w:t>
      </w:r>
    </w:p>
    <w:p>
      <w:pPr>
        <w:numPr>
          <w:ilvl w:val="0"/>
          <w:numId w:val="4"/>
        </w:numPr>
        <w:jc w:val="both"/>
        <w:rPr>
          <w:rFonts w:ascii="Calibri" w:hAnsi="Calibri"/>
          <w:bCs/>
          <w:sz w:val="22"/>
          <w:szCs w:val="22"/>
        </w:rPr>
      </w:pPr>
      <w:r>
        <w:rPr>
          <w:rFonts w:ascii="Calibri" w:hAnsi="Calibri"/>
          <w:bCs/>
          <w:sz w:val="22"/>
          <w:szCs w:val="22"/>
        </w:rPr>
        <w:t>motivations (par exemple : pédagogiques, structurelles, organisationnelles, financières…) de la demande et objectifs poursuivis ;</w:t>
      </w:r>
    </w:p>
    <w:p>
      <w:pPr>
        <w:numPr>
          <w:ilvl w:val="0"/>
          <w:numId w:val="4"/>
        </w:numPr>
        <w:jc w:val="both"/>
        <w:rPr>
          <w:rFonts w:ascii="Calibri" w:hAnsi="Calibri"/>
          <w:bCs/>
          <w:sz w:val="22"/>
          <w:szCs w:val="22"/>
        </w:rPr>
      </w:pPr>
      <w:r>
        <w:rPr>
          <w:rFonts w:ascii="Calibri" w:hAnsi="Calibri"/>
          <w:bCs/>
          <w:sz w:val="22"/>
          <w:szCs w:val="22"/>
        </w:rPr>
        <w:t>critères et indicateurs sollicités dans la liste proposée par l’arrêté du Gouvernement de la Communauté française du 16 mai 2013 fixant les listes des indicateurs permettant au Gouvernement d’autoriser plusieurs établissements à restructurer ou à octroyer des dérogations à l’implantation des degrés d’observation autonomes, aux délocalisations, aux normes de maintien de l’établissement, ainsi qu’aux normes de maintien par année, degré et option ;</w:t>
      </w:r>
    </w:p>
    <w:p>
      <w:pPr>
        <w:numPr>
          <w:ilvl w:val="0"/>
          <w:numId w:val="4"/>
        </w:numPr>
        <w:jc w:val="both"/>
        <w:rPr>
          <w:rFonts w:ascii="Calibri" w:hAnsi="Calibri"/>
          <w:bCs/>
          <w:sz w:val="22"/>
          <w:szCs w:val="22"/>
        </w:rPr>
      </w:pPr>
      <w:r>
        <w:rPr>
          <w:rFonts w:ascii="Calibri" w:hAnsi="Calibri"/>
          <w:bCs/>
          <w:sz w:val="22"/>
          <w:szCs w:val="22"/>
        </w:rPr>
        <w:t>le cas échéant : critères et indicateurs sollicités dans la liste proposée par le même arrêté qui justifieraient que l’établissement n’organisant que le 1</w:t>
      </w:r>
      <w:r>
        <w:rPr>
          <w:rFonts w:ascii="Calibri" w:hAnsi="Calibri"/>
          <w:bCs/>
          <w:sz w:val="22"/>
          <w:szCs w:val="22"/>
          <w:vertAlign w:val="superscript"/>
        </w:rPr>
        <w:t>er</w:t>
      </w:r>
      <w:r>
        <w:rPr>
          <w:rFonts w:ascii="Calibri" w:hAnsi="Calibri"/>
          <w:bCs/>
          <w:sz w:val="22"/>
          <w:szCs w:val="22"/>
        </w:rPr>
        <w:t xml:space="preserve"> degré soit organisé sur une implantation  accueillant d’autres établissements d’enseignement secondaire ou sur plusieurs implantations.</w:t>
      </w:r>
    </w:p>
    <w:p>
      <w:pPr>
        <w:rPr>
          <w:rFonts w:ascii="Calibri" w:hAnsi="Calibri"/>
          <w:i/>
          <w:sz w:val="22"/>
          <w:szCs w:val="22"/>
        </w:rPr>
      </w:pPr>
    </w:p>
    <w:p>
      <w:pPr>
        <w:rPr>
          <w:rFonts w:ascii="Calibri" w:hAnsi="Calibri"/>
          <w:i/>
          <w:sz w:val="22"/>
          <w:szCs w:val="22"/>
        </w:rPr>
      </w:pPr>
    </w:p>
    <w:p>
      <w:pPr>
        <w:rPr>
          <w:rFonts w:ascii="Calibri" w:hAnsi="Calibri"/>
          <w:i/>
          <w:sz w:val="22"/>
          <w:szCs w:val="22"/>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p>
      <w:pPr>
        <w:pStyle w:val="Corpsdetexte"/>
        <w:jc w:val="center"/>
        <w:outlineLvl w:val="0"/>
        <w:rPr>
          <w:rFonts w:ascii="Calibri" w:hAnsi="Calibri"/>
          <w:sz w:val="22"/>
          <w:szCs w:val="22"/>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cs="Arial"/>
                <w:b/>
              </w:rPr>
            </w:pPr>
            <w:r>
              <w:rPr>
                <w:lang w:val="fr-BE"/>
              </w:rPr>
              <w:br w:type="page"/>
            </w:r>
            <w:r>
              <w:rPr>
                <w:b/>
                <w:bCs/>
                <w:i/>
                <w:iCs/>
              </w:rPr>
              <w:br w:type="page"/>
            </w:r>
            <w:r>
              <w:rPr>
                <w:rFonts w:cs="Arial"/>
                <w:b/>
              </w:rPr>
              <w:t>Annexe 8</w:t>
            </w:r>
          </w:p>
        </w:tc>
        <w:tc>
          <w:tcPr>
            <w:tcW w:w="288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rPr>
              <w:t xml:space="preserve">Année scolaire </w:t>
            </w:r>
          </w:p>
          <w:p>
            <w:pPr>
              <w:pStyle w:val="Sansinterligne1"/>
              <w:spacing w:before="60" w:after="60"/>
              <w:jc w:val="center"/>
              <w:rPr>
                <w:rFonts w:cs="Arial"/>
                <w:b/>
              </w:rPr>
            </w:pPr>
            <w:r>
              <w:rPr>
                <w:rFonts w:cs="Arial"/>
                <w:b/>
              </w:rPr>
              <w:t>2020-2021</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before="60" w:after="60"/>
              <w:jc w:val="center"/>
              <w:rPr>
                <w:rFonts w:cs="Arial"/>
                <w:b/>
              </w:rPr>
            </w:pPr>
            <w:r>
              <w:rPr>
                <w:rFonts w:cs="Arial"/>
                <w:b/>
                <w:u w:val="single"/>
              </w:rPr>
              <w:t>Date limite d’envoi</w:t>
            </w:r>
            <w:r>
              <w:rPr>
                <w:rFonts w:cs="Arial"/>
                <w:b/>
              </w:rPr>
              <w:t> : à introduire si nécessaire, le cas échéant,  en même temps que l’annexe 7</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cs="Arial"/>
                <w:b/>
              </w:rPr>
            </w:pPr>
            <w:r>
              <w:rPr>
                <w:rFonts w:cs="Arial"/>
                <w:b/>
              </w:rPr>
              <w:t xml:space="preserve">Enseignement secondaire ordinaire </w:t>
            </w:r>
          </w:p>
          <w:p>
            <w:pPr>
              <w:pStyle w:val="Sansinterligne1"/>
              <w:jc w:val="center"/>
              <w:rPr>
                <w:rFonts w:cs="Arial"/>
                <w:b/>
                <w:i/>
              </w:rPr>
            </w:pPr>
            <w:r>
              <w:rPr>
                <w:rFonts w:cs="Arial"/>
                <w:b/>
                <w:i/>
              </w:rPr>
              <w:t>Demande de DEROGATION pour l’octroi d’incitants DOA</w:t>
            </w:r>
          </w:p>
          <w:p>
            <w:pPr>
              <w:pStyle w:val="Sansinterligne1"/>
              <w:jc w:val="center"/>
              <w:rPr>
                <w:rFonts w:cs="Arial"/>
              </w:rPr>
            </w:pPr>
          </w:p>
        </w:tc>
      </w:tr>
    </w:tbl>
    <w:p>
      <w:pPr>
        <w:pStyle w:val="Sansinterligne1"/>
        <w:ind w:left="142"/>
        <w:rPr>
          <w:rFonts w:cs="Arial"/>
        </w:rPr>
      </w:pPr>
      <w:r>
        <w:rPr>
          <w:rFonts w:cs="Arial"/>
        </w:rPr>
        <w:t xml:space="preserve">Cette annexe doit être envoyée en </w:t>
      </w:r>
      <w:r>
        <w:rPr>
          <w:rFonts w:cs="Arial"/>
          <w:u w:val="single"/>
        </w:rPr>
        <w:t>3 exemplaires</w:t>
      </w:r>
      <w:r>
        <w:rPr>
          <w:rFonts w:cs="Arial"/>
        </w:rPr>
        <w:t xml:space="preserve"> :</w:t>
      </w:r>
    </w:p>
    <w:p>
      <w:pPr>
        <w:pStyle w:val="Sansinterligne1"/>
        <w:ind w:left="180"/>
        <w:jc w:val="both"/>
        <w:rPr>
          <w:rFonts w:cs="Arial"/>
        </w:rPr>
      </w:pPr>
    </w:p>
    <w:tbl>
      <w:tblPr>
        <w:tblW w:w="9828" w:type="dxa"/>
        <w:jc w:val="center"/>
        <w:tblLook w:val="01E0" w:firstRow="1" w:lastRow="1" w:firstColumn="1" w:lastColumn="1" w:noHBand="0" w:noVBand="0"/>
      </w:tblPr>
      <w:tblGrid>
        <w:gridCol w:w="4428"/>
        <w:gridCol w:w="5400"/>
      </w:tblGrid>
      <w:tr>
        <w:trPr>
          <w:trHeight w:val="1085"/>
          <w:jc w:val="center"/>
        </w:trPr>
        <w:tc>
          <w:tcPr>
            <w:tcW w:w="4428" w:type="dxa"/>
          </w:tcPr>
          <w:p>
            <w:pPr>
              <w:pStyle w:val="Sansinterligne1"/>
              <w:jc w:val="center"/>
              <w:rPr>
                <w:rFonts w:cs="Arial"/>
              </w:rPr>
            </w:pPr>
            <w:r>
              <w:rPr>
                <w:rFonts w:cs="Arial"/>
              </w:rPr>
              <w:t>1- à la Direction générale de l’Enseignement obligatoire</w:t>
            </w:r>
          </w:p>
          <w:p>
            <w:pPr>
              <w:pStyle w:val="Sansinterligne1"/>
              <w:jc w:val="center"/>
              <w:rPr>
                <w:rFonts w:cs="Arial"/>
              </w:rPr>
            </w:pPr>
            <w:r>
              <w:rPr>
                <w:rFonts w:cs="Arial"/>
              </w:rPr>
              <w:t>Bureau 1F106</w:t>
            </w:r>
          </w:p>
          <w:p>
            <w:pPr>
              <w:pStyle w:val="Sansinterligne1"/>
              <w:jc w:val="center"/>
              <w:rPr>
                <w:rFonts w:cs="Arial"/>
              </w:rPr>
            </w:pPr>
            <w:r>
              <w:rPr>
                <w:rFonts w:cs="Arial"/>
              </w:rPr>
              <w:t>Rue Adolphe Lavallée, 1</w:t>
            </w:r>
          </w:p>
          <w:p>
            <w:pPr>
              <w:pStyle w:val="Sansinterligne1"/>
              <w:jc w:val="center"/>
              <w:rPr>
                <w:rFonts w:cs="Arial"/>
              </w:rPr>
            </w:pPr>
            <w:r>
              <w:rPr>
                <w:rFonts w:cs="Arial"/>
              </w:rPr>
              <w:t>1080 Bruxelles</w:t>
            </w:r>
          </w:p>
        </w:tc>
        <w:tc>
          <w:tcPr>
            <w:tcW w:w="5400" w:type="dxa"/>
          </w:tcPr>
          <w:p>
            <w:pPr>
              <w:pStyle w:val="Sansinterligne1"/>
              <w:jc w:val="center"/>
            </w:pPr>
            <w:r>
              <w:t xml:space="preserve">2- </w:t>
            </w:r>
            <w:r>
              <w:rPr>
                <w:b/>
              </w:rPr>
              <w:t>soit</w:t>
            </w:r>
            <w:r>
              <w:t xml:space="preserve"> à l'organe de représentation et de coordination, </w:t>
            </w:r>
            <w:r>
              <w:br/>
              <w:t xml:space="preserve">  </w:t>
            </w:r>
            <w:r>
              <w:rPr>
                <w:b/>
              </w:rPr>
              <w:t>soit</w:t>
            </w:r>
            <w:r>
              <w:t xml:space="preserve"> au Service général  de l'Enseignement organisé </w:t>
            </w:r>
          </w:p>
          <w:p>
            <w:pPr>
              <w:pStyle w:val="Sansinterligne1"/>
              <w:jc w:val="center"/>
              <w:rPr>
                <w:rFonts w:cs="Arial"/>
                <w:i/>
              </w:rPr>
            </w:pPr>
            <w:r>
              <w:t>par la Fédération Wallonie-Bruxelles</w:t>
            </w:r>
          </w:p>
          <w:p>
            <w:pPr>
              <w:pStyle w:val="Sansinterligne1"/>
              <w:jc w:val="center"/>
            </w:pPr>
          </w:p>
          <w:p>
            <w:pPr>
              <w:pStyle w:val="Sansinterligne1"/>
              <w:rPr>
                <w:rFonts w:cs="Arial"/>
                <w:i/>
              </w:rPr>
            </w:pPr>
            <w:r>
              <w:t xml:space="preserve">   3- au Comité de concertation</w:t>
            </w:r>
          </w:p>
        </w:tc>
      </w:tr>
    </w:tbl>
    <w:p>
      <w:pPr>
        <w:pStyle w:val="Sansinterligne1"/>
        <w:rPr>
          <w:rFonts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pStyle w:val="Sansinterligne1"/>
              <w:spacing w:before="120" w:after="120"/>
              <w:rPr>
                <w:rFonts w:cs="Arial"/>
                <w:b/>
              </w:rPr>
            </w:pPr>
            <w:r>
              <w:rPr>
                <w:rFonts w:cs="Arial"/>
                <w:b/>
              </w:rPr>
              <w:t>Etablissement :</w:t>
            </w:r>
          </w:p>
        </w:tc>
        <w:tc>
          <w:tcPr>
            <w:tcW w:w="4680" w:type="dxa"/>
            <w:vAlign w:val="center"/>
          </w:tcPr>
          <w:p>
            <w:pPr>
              <w:pStyle w:val="Sansinterligne1"/>
              <w:spacing w:before="120" w:after="120"/>
              <w:rPr>
                <w:rFonts w:cs="Arial"/>
                <w:b/>
              </w:rPr>
            </w:pPr>
            <w:r>
              <w:rPr>
                <w:rFonts w:cs="Arial"/>
                <w:b/>
              </w:rPr>
              <w:t>N° FASE :</w:t>
            </w:r>
          </w:p>
          <w:p>
            <w:pPr>
              <w:pStyle w:val="Sansinterligne1"/>
              <w:spacing w:before="120" w:after="120"/>
              <w:rPr>
                <w:rFonts w:cs="Arial"/>
                <w:b/>
              </w:rPr>
            </w:pPr>
          </w:p>
        </w:tc>
      </w:tr>
      <w:tr>
        <w:trPr>
          <w:trHeight w:val="567"/>
          <w:jc w:val="center"/>
        </w:trPr>
        <w:tc>
          <w:tcPr>
            <w:tcW w:w="9828" w:type="dxa"/>
            <w:gridSpan w:val="2"/>
          </w:tcPr>
          <w:p>
            <w:pPr>
              <w:pStyle w:val="Sansinterligne1"/>
              <w:spacing w:after="360"/>
              <w:rPr>
                <w:rFonts w:cs="Arial"/>
                <w:b/>
              </w:rPr>
            </w:pPr>
            <w:r>
              <w:rPr>
                <w:rFonts w:cs="Arial"/>
              </w:rPr>
              <w:t>Siège administratif (rue, n°, code postal et localité) :</w:t>
            </w:r>
          </w:p>
        </w:tc>
      </w:tr>
    </w:tbl>
    <w:p>
      <w:pPr>
        <w:jc w:val="both"/>
        <w:rPr>
          <w:rFonts w:ascii="Calibri" w:hAnsi="Calibri"/>
          <w:i/>
          <w:sz w:val="22"/>
          <w:szCs w:val="22"/>
        </w:rPr>
      </w:pPr>
      <w:r>
        <w:rPr>
          <w:rFonts w:ascii="Calibri" w:hAnsi="Calibri"/>
          <w:i/>
          <w:sz w:val="22"/>
          <w:szCs w:val="22"/>
        </w:rPr>
        <w:t>sollicite du Gouvernement, via le Conseil général de concertation de l’enseignement secondaire, une dérogation aux dispositions de l’article 5quater, §1er, alinéa 4, du décret du 29 juillet 1992, tel que modifié (dérogation pour l’octroi d’incitants DOA).</w:t>
      </w:r>
    </w:p>
    <w:p>
      <w:pPr>
        <w:rPr>
          <w:rFonts w:ascii="Calibri" w:hAnsi="Calibri"/>
          <w:i/>
          <w:sz w:val="22"/>
          <w:szCs w:val="22"/>
        </w:rPr>
      </w:pPr>
    </w:p>
    <w:p>
      <w:pPr>
        <w:rPr>
          <w:rFonts w:ascii="Calibri" w:hAnsi="Calibri"/>
          <w:sz w:val="22"/>
          <w:szCs w:val="22"/>
        </w:rPr>
      </w:pPr>
      <w:r>
        <w:rPr>
          <w:rFonts w:ascii="Calibri" w:hAnsi="Calibri"/>
          <w:i/>
          <w:sz w:val="22"/>
          <w:szCs w:val="22"/>
        </w:rPr>
        <w:t>Les raisons de cette demande sont explicitées ci-dessous:</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2578"/>
        <w:gridCol w:w="1985"/>
        <w:gridCol w:w="3594"/>
        <w:gridCol w:w="51"/>
      </w:tblGrid>
      <w:tr>
        <w:tc>
          <w:tcPr>
            <w:tcW w:w="2188" w:type="dxa"/>
          </w:tcPr>
          <w:p>
            <w:pPr>
              <w:jc w:val="center"/>
              <w:rPr>
                <w:rFonts w:ascii="Calibri" w:hAnsi="Calibri"/>
                <w:b/>
                <w:sz w:val="22"/>
                <w:szCs w:val="22"/>
              </w:rPr>
            </w:pPr>
            <w:r>
              <w:rPr>
                <w:rFonts w:ascii="Calibri" w:hAnsi="Calibri"/>
                <w:b/>
                <w:sz w:val="22"/>
                <w:szCs w:val="22"/>
              </w:rPr>
              <w:t>Critères du décret</w:t>
            </w:r>
          </w:p>
        </w:tc>
        <w:tc>
          <w:tcPr>
            <w:tcW w:w="2578" w:type="dxa"/>
          </w:tcPr>
          <w:p>
            <w:pPr>
              <w:jc w:val="center"/>
              <w:rPr>
                <w:rFonts w:ascii="Calibri" w:hAnsi="Calibri"/>
                <w:b/>
                <w:sz w:val="22"/>
                <w:szCs w:val="22"/>
              </w:rPr>
            </w:pPr>
            <w:r>
              <w:rPr>
                <w:rFonts w:ascii="Calibri" w:hAnsi="Calibri"/>
                <w:b/>
                <w:sz w:val="22"/>
                <w:szCs w:val="22"/>
              </w:rPr>
              <w:t>Indicateurs</w:t>
            </w:r>
          </w:p>
        </w:tc>
        <w:tc>
          <w:tcPr>
            <w:tcW w:w="1985" w:type="dxa"/>
          </w:tcPr>
          <w:p>
            <w:pPr>
              <w:jc w:val="center"/>
              <w:rPr>
                <w:rFonts w:ascii="Calibri" w:hAnsi="Calibri"/>
                <w:b/>
                <w:sz w:val="22"/>
                <w:szCs w:val="22"/>
              </w:rPr>
            </w:pPr>
            <w:r>
              <w:rPr>
                <w:rFonts w:ascii="Calibri" w:hAnsi="Calibri"/>
                <w:b/>
                <w:sz w:val="22"/>
                <w:szCs w:val="22"/>
              </w:rPr>
              <w:t>Indicateur(s) retenu(s) (à cocher)</w:t>
            </w:r>
          </w:p>
        </w:tc>
        <w:tc>
          <w:tcPr>
            <w:tcW w:w="3645" w:type="dxa"/>
            <w:gridSpan w:val="2"/>
            <w:vAlign w:val="center"/>
          </w:tcPr>
          <w:p>
            <w:pPr>
              <w:jc w:val="center"/>
              <w:rPr>
                <w:rFonts w:ascii="Calibri" w:hAnsi="Calibri"/>
                <w:b/>
                <w:sz w:val="22"/>
                <w:szCs w:val="22"/>
              </w:rPr>
            </w:pPr>
            <w:r>
              <w:rPr>
                <w:rFonts w:ascii="Calibri" w:hAnsi="Calibri"/>
                <w:b/>
                <w:sz w:val="22"/>
                <w:szCs w:val="22"/>
              </w:rPr>
              <w:t>Motivations</w:t>
            </w:r>
          </w:p>
        </w:tc>
      </w:tr>
      <w:tr>
        <w:trPr>
          <w:trHeight w:val="253"/>
        </w:trPr>
        <w:tc>
          <w:tcPr>
            <w:tcW w:w="2188" w:type="dxa"/>
            <w:tcBorders>
              <w:bottom w:val="single" w:sz="4" w:space="0" w:color="auto"/>
            </w:tcBorders>
            <w:vAlign w:val="center"/>
          </w:tcPr>
          <w:p>
            <w:pPr>
              <w:jc w:val="center"/>
              <w:rPr>
                <w:rFonts w:ascii="Calibri" w:hAnsi="Calibri"/>
                <w:sz w:val="22"/>
                <w:szCs w:val="22"/>
              </w:rPr>
            </w:pPr>
            <w:r>
              <w:rPr>
                <w:rFonts w:ascii="Calibri" w:hAnsi="Calibri"/>
                <w:sz w:val="22"/>
                <w:szCs w:val="22"/>
              </w:rPr>
              <w:t>A. L’éloignement</w:t>
            </w:r>
          </w:p>
        </w:tc>
        <w:tc>
          <w:tcPr>
            <w:tcW w:w="2578" w:type="dxa"/>
            <w:vMerge w:val="restart"/>
            <w:tcBorders>
              <w:bottom w:val="single" w:sz="4" w:space="0" w:color="auto"/>
            </w:tcBorders>
          </w:tcPr>
          <w:p>
            <w:pPr>
              <w:rPr>
                <w:rFonts w:ascii="Calibri" w:hAnsi="Calibri"/>
                <w:sz w:val="22"/>
                <w:szCs w:val="22"/>
              </w:rPr>
            </w:pPr>
            <w:r>
              <w:rPr>
                <w:rFonts w:ascii="Calibri" w:hAnsi="Calibri"/>
                <w:sz w:val="22"/>
                <w:szCs w:val="22"/>
              </w:rPr>
              <w:t>A1-B1. La distance entre les 2 implantations est telle qu’il n’est pas possible de regrouper le DOA sur l’une d’elles, notamment en raison de la durée de déplacement qui serait imposée aux élèves.</w:t>
            </w:r>
          </w:p>
        </w:tc>
        <w:tc>
          <w:tcPr>
            <w:tcW w:w="1985" w:type="dxa"/>
            <w:vMerge w:val="restart"/>
            <w:tcBorders>
              <w:bottom w:val="single" w:sz="4" w:space="0" w:color="auto"/>
            </w:tcBorders>
          </w:tcPr>
          <w:p>
            <w:pPr>
              <w:rPr>
                <w:rFonts w:ascii="Calibri" w:hAnsi="Calibri"/>
                <w:sz w:val="22"/>
                <w:szCs w:val="22"/>
              </w:rPr>
            </w:pPr>
          </w:p>
        </w:tc>
        <w:tc>
          <w:tcPr>
            <w:tcW w:w="3645" w:type="dxa"/>
            <w:gridSpan w:val="2"/>
            <w:vMerge w:val="restart"/>
            <w:tcBorders>
              <w:bottom w:val="single" w:sz="4" w:space="0" w:color="auto"/>
            </w:tcBorders>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Align w:val="center"/>
          </w:tcPr>
          <w:p>
            <w:pPr>
              <w:jc w:val="center"/>
              <w:rPr>
                <w:rFonts w:ascii="Calibri" w:hAnsi="Calibri"/>
                <w:sz w:val="22"/>
                <w:szCs w:val="22"/>
              </w:rPr>
            </w:pPr>
            <w:r>
              <w:rPr>
                <w:rFonts w:ascii="Calibri" w:hAnsi="Calibri"/>
                <w:sz w:val="22"/>
                <w:szCs w:val="22"/>
              </w:rPr>
              <w:t>B. Les transports</w:t>
            </w:r>
          </w:p>
        </w:tc>
        <w:tc>
          <w:tcPr>
            <w:tcW w:w="2578" w:type="dxa"/>
            <w:vMerge/>
          </w:tcPr>
          <w:p>
            <w:pPr>
              <w:rPr>
                <w:rFonts w:ascii="Calibri" w:hAnsi="Calibri"/>
                <w:sz w:val="22"/>
                <w:szCs w:val="22"/>
              </w:rPr>
            </w:pPr>
          </w:p>
        </w:tc>
        <w:tc>
          <w:tcPr>
            <w:tcW w:w="1985" w:type="dxa"/>
            <w:vMerge/>
          </w:tcPr>
          <w:p>
            <w:pPr>
              <w:rPr>
                <w:rFonts w:ascii="Calibri" w:hAnsi="Calibri"/>
                <w:sz w:val="22"/>
                <w:szCs w:val="22"/>
              </w:rPr>
            </w:pPr>
          </w:p>
        </w:tc>
        <w:tc>
          <w:tcPr>
            <w:tcW w:w="3645" w:type="dxa"/>
            <w:gridSpan w:val="2"/>
            <w:vMerge/>
            <w:vAlign w:val="center"/>
          </w:tcPr>
          <w:p>
            <w:pPr>
              <w:rPr>
                <w:rFonts w:ascii="Calibri" w:hAnsi="Calibri"/>
                <w:sz w:val="22"/>
                <w:szCs w:val="22"/>
              </w:rPr>
            </w:pPr>
          </w:p>
        </w:tc>
      </w:tr>
      <w:tr>
        <w:tc>
          <w:tcPr>
            <w:tcW w:w="2188" w:type="dxa"/>
            <w:vMerge w:val="restart"/>
            <w:vAlign w:val="center"/>
          </w:tcPr>
          <w:p>
            <w:pPr>
              <w:jc w:val="center"/>
              <w:rPr>
                <w:rFonts w:ascii="Calibri" w:hAnsi="Calibri"/>
                <w:sz w:val="22"/>
                <w:szCs w:val="22"/>
              </w:rPr>
            </w:pPr>
            <w:r>
              <w:rPr>
                <w:rFonts w:ascii="Calibri" w:hAnsi="Calibri"/>
                <w:sz w:val="22"/>
                <w:szCs w:val="22"/>
              </w:rPr>
              <w:t>C. La configuration des bâtiments</w:t>
            </w:r>
          </w:p>
        </w:tc>
        <w:tc>
          <w:tcPr>
            <w:tcW w:w="2578" w:type="dxa"/>
          </w:tcPr>
          <w:p>
            <w:pPr>
              <w:rPr>
                <w:rFonts w:ascii="Calibri" w:hAnsi="Calibri"/>
                <w:sz w:val="22"/>
                <w:szCs w:val="22"/>
              </w:rPr>
            </w:pPr>
            <w:r>
              <w:rPr>
                <w:rFonts w:ascii="Calibri" w:hAnsi="Calibri"/>
                <w:sz w:val="22"/>
                <w:szCs w:val="22"/>
              </w:rPr>
              <w:t>C1. Aucune des implantations concernées ne permet d’accueillir dans des conditions normales l’ensemble des élèves du DOA.</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p>
            <w:pPr>
              <w:rPr>
                <w:rFonts w:ascii="Calibri" w:hAnsi="Calibri"/>
                <w:sz w:val="22"/>
                <w:szCs w:val="22"/>
              </w:rPr>
            </w:pPr>
          </w:p>
        </w:tc>
      </w:tr>
      <w:tr>
        <w:tc>
          <w:tcPr>
            <w:tcW w:w="2188" w:type="dxa"/>
            <w:vMerge/>
          </w:tcPr>
          <w:p>
            <w:pPr>
              <w:rPr>
                <w:rFonts w:ascii="Calibri" w:hAnsi="Calibri"/>
                <w:sz w:val="22"/>
                <w:szCs w:val="22"/>
              </w:rPr>
            </w:pPr>
          </w:p>
        </w:tc>
        <w:tc>
          <w:tcPr>
            <w:tcW w:w="2578" w:type="dxa"/>
          </w:tcPr>
          <w:p>
            <w:pPr>
              <w:rPr>
                <w:rFonts w:ascii="Calibri" w:hAnsi="Calibri"/>
                <w:sz w:val="22"/>
                <w:szCs w:val="22"/>
              </w:rPr>
            </w:pPr>
            <w:r>
              <w:rPr>
                <w:rFonts w:ascii="Calibri" w:hAnsi="Calibri"/>
                <w:sz w:val="22"/>
                <w:szCs w:val="22"/>
              </w:rPr>
              <w:t>C2. La configuration des bâtiments permet d’isoler les élèves du DOA dans un ou plusieurs bâtiments même si un établissement organise un 2</w:t>
            </w:r>
            <w:r>
              <w:rPr>
                <w:rFonts w:ascii="Calibri" w:hAnsi="Calibri"/>
                <w:sz w:val="22"/>
                <w:szCs w:val="22"/>
                <w:vertAlign w:val="superscript"/>
              </w:rPr>
              <w:t>ème</w:t>
            </w:r>
            <w:r>
              <w:rPr>
                <w:rFonts w:ascii="Calibri" w:hAnsi="Calibri"/>
                <w:sz w:val="22"/>
                <w:szCs w:val="22"/>
              </w:rPr>
              <w:t xml:space="preserve"> et/ou 3</w:t>
            </w:r>
            <w:r>
              <w:rPr>
                <w:rFonts w:ascii="Calibri" w:hAnsi="Calibri"/>
                <w:sz w:val="22"/>
                <w:szCs w:val="22"/>
                <w:vertAlign w:val="superscript"/>
              </w:rPr>
              <w:t>ème</w:t>
            </w:r>
            <w:r>
              <w:rPr>
                <w:rFonts w:ascii="Calibri" w:hAnsi="Calibri"/>
                <w:sz w:val="22"/>
                <w:szCs w:val="22"/>
              </w:rPr>
              <w:t xml:space="preserve"> degré dans un bâtiment voisin.</w:t>
            </w:r>
          </w:p>
        </w:tc>
        <w:tc>
          <w:tcPr>
            <w:tcW w:w="1985" w:type="dxa"/>
          </w:tcPr>
          <w:p>
            <w:pPr>
              <w:rPr>
                <w:rFonts w:ascii="Calibri" w:hAnsi="Calibri"/>
                <w:sz w:val="22"/>
                <w:szCs w:val="22"/>
              </w:rPr>
            </w:pPr>
          </w:p>
        </w:tc>
        <w:tc>
          <w:tcPr>
            <w:tcW w:w="3645" w:type="dxa"/>
            <w:gridSpan w:val="2"/>
            <w:vAlign w:val="center"/>
          </w:tcPr>
          <w:p>
            <w:pPr>
              <w:rPr>
                <w:rFonts w:ascii="Calibri" w:hAnsi="Calibri"/>
                <w:sz w:val="22"/>
                <w:szCs w:val="22"/>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51" w:type="dxa"/>
        </w:trPr>
        <w:tc>
          <w:tcPr>
            <w:tcW w:w="10345" w:type="dxa"/>
            <w:gridSpan w:val="4"/>
          </w:tcPr>
          <w:p>
            <w:pPr>
              <w:tabs>
                <w:tab w:val="left" w:pos="2835"/>
                <w:tab w:val="left" w:pos="3402"/>
              </w:tabs>
              <w:rPr>
                <w:rFonts w:ascii="Calibri" w:hAnsi="Calibri"/>
                <w:i/>
                <w:sz w:val="22"/>
                <w:szCs w:val="22"/>
              </w:rPr>
            </w:pPr>
            <w:r>
              <w:rPr>
                <w:rFonts w:ascii="Calibri" w:hAnsi="Calibri"/>
                <w:i/>
                <w:sz w:val="22"/>
                <w:szCs w:val="22"/>
              </w:rPr>
              <w:t>Date, nom, qualité et signature du demandeur</w:t>
            </w:r>
          </w:p>
        </w:tc>
      </w:tr>
    </w:tbl>
    <w:p>
      <w:pPr>
        <w:pStyle w:val="Corpsdetexte"/>
        <w:outlineLvl w:val="0"/>
        <w:rPr>
          <w:rFonts w:ascii="Calibri" w:hAnsi="Calibri"/>
          <w:sz w:val="22"/>
          <w:szCs w:val="22"/>
        </w:rPr>
      </w:pPr>
    </w:p>
    <w:p>
      <w:pPr>
        <w:pStyle w:val="Corpsdetexte"/>
        <w:outlineLvl w:val="0"/>
        <w:rPr>
          <w:rFonts w:ascii="Calibri" w:hAnsi="Calibri"/>
          <w:sz w:val="22"/>
          <w:szCs w:val="22"/>
        </w:rPr>
      </w:pPr>
    </w:p>
    <w:sectPr>
      <w:footerReference w:type="even" r:id="rId8"/>
      <w:footerReference w:type="default" r:id="rId9"/>
      <w:pgSz w:w="11906" w:h="16838"/>
      <w:pgMar w:top="719" w:right="866" w:bottom="993" w:left="8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lang w:val="fr-BE"/>
        </w:rPr>
        <w:t>Entourer PE, plein exercice et / ou Alt, alternance : les deux dérogations sont liées.</w:t>
      </w:r>
    </w:p>
  </w:footnote>
  <w:footnote w:id="2">
    <w:p>
      <w:pPr>
        <w:ind w:left="720"/>
        <w:jc w:val="both"/>
        <w:rPr>
          <w:sz w:val="16"/>
          <w:szCs w:val="16"/>
        </w:rPr>
      </w:pPr>
      <w:r>
        <w:rPr>
          <w:rStyle w:val="Appelnotedebasdep"/>
        </w:rPr>
        <w:footnoteRef/>
      </w:r>
      <w:r>
        <w:t xml:space="preserve"> </w:t>
      </w:r>
      <w:r>
        <w:rPr>
          <w:sz w:val="16"/>
          <w:szCs w:val="16"/>
        </w:rPr>
        <w:t xml:space="preserve">Arrêté du </w:t>
      </w:r>
      <w:r>
        <w:rPr>
          <w:iCs/>
          <w:sz w:val="16"/>
          <w:szCs w:val="16"/>
        </w:rPr>
        <w:t>Gouvernement de la Communauté française du 15 mai 2014</w:t>
      </w:r>
      <w:r>
        <w:rPr>
          <w:i/>
          <w:iCs/>
          <w:sz w:val="16"/>
          <w:szCs w:val="16"/>
        </w:rPr>
        <w:t xml:space="preserve"> définissant les modalités d’introduction des demandes de restructuration d’établissements scolaires visant à l’émergence d’un établissement n’organisant que le 1</w:t>
      </w:r>
      <w:r>
        <w:rPr>
          <w:i/>
          <w:iCs/>
          <w:sz w:val="16"/>
          <w:szCs w:val="16"/>
          <w:vertAlign w:val="superscript"/>
        </w:rPr>
        <w:t>er</w:t>
      </w:r>
      <w:r>
        <w:rPr>
          <w:i/>
          <w:iCs/>
          <w:sz w:val="16"/>
          <w:szCs w:val="16"/>
        </w:rPr>
        <w:t xml:space="preserve"> degré, Moniteur du 27 août 2014, </w:t>
      </w:r>
      <w:r>
        <w:rPr>
          <w:iCs/>
          <w:sz w:val="16"/>
          <w:szCs w:val="16"/>
        </w:rPr>
        <w:t>applicable dès le  1</w:t>
      </w:r>
      <w:r>
        <w:rPr>
          <w:iCs/>
          <w:sz w:val="16"/>
          <w:szCs w:val="16"/>
          <w:vertAlign w:val="superscript"/>
        </w:rPr>
        <w:t>er</w:t>
      </w:r>
      <w:r>
        <w:rPr>
          <w:iCs/>
          <w:sz w:val="16"/>
          <w:szCs w:val="16"/>
        </w:rPr>
        <w:t xml:space="preserve"> septembre 2014.</w:t>
      </w:r>
    </w:p>
    <w:p>
      <w:pPr>
        <w:pStyle w:val="Notedebasdepage"/>
        <w:rPr>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70_"/>
      </v:shape>
    </w:pict>
  </w:numPicBullet>
  <w:abstractNum w:abstractNumId="0" w15:restartNumberingAfterBreak="0">
    <w:nsid w:val="0F4F7239"/>
    <w:multiLevelType w:val="hybridMultilevel"/>
    <w:tmpl w:val="B148B868"/>
    <w:lvl w:ilvl="0" w:tplc="578AE4F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4F5C94"/>
    <w:multiLevelType w:val="hybridMultilevel"/>
    <w:tmpl w:val="71346A2E"/>
    <w:lvl w:ilvl="0" w:tplc="EFECF346">
      <w:start w:val="1"/>
      <w:numFmt w:val="upperLetter"/>
      <w:lvlText w:val="%1."/>
      <w:lvlJc w:val="left"/>
      <w:pPr>
        <w:tabs>
          <w:tab w:val="num" w:pos="1020"/>
        </w:tabs>
        <w:ind w:left="1020" w:hanging="6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273B3C02"/>
    <w:multiLevelType w:val="hybridMultilevel"/>
    <w:tmpl w:val="1B2E2FEC"/>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2746561A"/>
    <w:multiLevelType w:val="hybridMultilevel"/>
    <w:tmpl w:val="A36A8458"/>
    <w:lvl w:ilvl="0" w:tplc="B9C665C4">
      <w:start w:val="1"/>
      <w:numFmt w:val="decimal"/>
      <w:lvlText w:val="%1)"/>
      <w:lvlJc w:val="left"/>
      <w:pPr>
        <w:ind w:left="1070" w:hanging="360"/>
      </w:pPr>
      <w:rPr>
        <w:rFonts w:hint="default"/>
      </w:rPr>
    </w:lvl>
    <w:lvl w:ilvl="1" w:tplc="080C0019" w:tentative="1">
      <w:start w:val="1"/>
      <w:numFmt w:val="lowerLetter"/>
      <w:lvlText w:val="%2."/>
      <w:lvlJc w:val="left"/>
      <w:pPr>
        <w:ind w:left="1790" w:hanging="360"/>
      </w:pPr>
    </w:lvl>
    <w:lvl w:ilvl="2" w:tplc="080C001B" w:tentative="1">
      <w:start w:val="1"/>
      <w:numFmt w:val="lowerRoman"/>
      <w:lvlText w:val="%3."/>
      <w:lvlJc w:val="right"/>
      <w:pPr>
        <w:ind w:left="2510" w:hanging="180"/>
      </w:pPr>
    </w:lvl>
    <w:lvl w:ilvl="3" w:tplc="080C000F" w:tentative="1">
      <w:start w:val="1"/>
      <w:numFmt w:val="decimal"/>
      <w:lvlText w:val="%4."/>
      <w:lvlJc w:val="left"/>
      <w:pPr>
        <w:ind w:left="3230" w:hanging="360"/>
      </w:pPr>
    </w:lvl>
    <w:lvl w:ilvl="4" w:tplc="080C0019" w:tentative="1">
      <w:start w:val="1"/>
      <w:numFmt w:val="lowerLetter"/>
      <w:lvlText w:val="%5."/>
      <w:lvlJc w:val="left"/>
      <w:pPr>
        <w:ind w:left="3950" w:hanging="360"/>
      </w:pPr>
    </w:lvl>
    <w:lvl w:ilvl="5" w:tplc="080C001B" w:tentative="1">
      <w:start w:val="1"/>
      <w:numFmt w:val="lowerRoman"/>
      <w:lvlText w:val="%6."/>
      <w:lvlJc w:val="right"/>
      <w:pPr>
        <w:ind w:left="4670" w:hanging="180"/>
      </w:pPr>
    </w:lvl>
    <w:lvl w:ilvl="6" w:tplc="080C000F" w:tentative="1">
      <w:start w:val="1"/>
      <w:numFmt w:val="decimal"/>
      <w:lvlText w:val="%7."/>
      <w:lvlJc w:val="left"/>
      <w:pPr>
        <w:ind w:left="5390" w:hanging="360"/>
      </w:pPr>
    </w:lvl>
    <w:lvl w:ilvl="7" w:tplc="080C0019" w:tentative="1">
      <w:start w:val="1"/>
      <w:numFmt w:val="lowerLetter"/>
      <w:lvlText w:val="%8."/>
      <w:lvlJc w:val="left"/>
      <w:pPr>
        <w:ind w:left="6110" w:hanging="360"/>
      </w:pPr>
    </w:lvl>
    <w:lvl w:ilvl="8" w:tplc="080C001B" w:tentative="1">
      <w:start w:val="1"/>
      <w:numFmt w:val="lowerRoman"/>
      <w:lvlText w:val="%9."/>
      <w:lvlJc w:val="right"/>
      <w:pPr>
        <w:ind w:left="6830" w:hanging="180"/>
      </w:pPr>
    </w:lvl>
  </w:abstractNum>
  <w:abstractNum w:abstractNumId="4" w15:restartNumberingAfterBreak="0">
    <w:nsid w:val="31042E0E"/>
    <w:multiLevelType w:val="hybridMultilevel"/>
    <w:tmpl w:val="77C2C176"/>
    <w:lvl w:ilvl="0" w:tplc="080C0001">
      <w:start w:val="1"/>
      <w:numFmt w:val="bullet"/>
      <w:lvlText w:val=""/>
      <w:lvlJc w:val="left"/>
      <w:pPr>
        <w:ind w:left="1140" w:hanging="360"/>
      </w:pPr>
      <w:rPr>
        <w:rFonts w:ascii="Symbol" w:hAnsi="Symbol" w:hint="default"/>
      </w:rPr>
    </w:lvl>
    <w:lvl w:ilvl="1" w:tplc="080C0003">
      <w:start w:val="1"/>
      <w:numFmt w:val="bullet"/>
      <w:lvlText w:val="o"/>
      <w:lvlJc w:val="left"/>
      <w:pPr>
        <w:ind w:left="1860" w:hanging="360"/>
      </w:pPr>
      <w:rPr>
        <w:rFonts w:ascii="Courier New" w:hAnsi="Courier New" w:hint="default"/>
      </w:rPr>
    </w:lvl>
    <w:lvl w:ilvl="2" w:tplc="080C0005" w:tentative="1">
      <w:start w:val="1"/>
      <w:numFmt w:val="bullet"/>
      <w:lvlText w:val=""/>
      <w:lvlJc w:val="left"/>
      <w:pPr>
        <w:ind w:left="2580" w:hanging="360"/>
      </w:pPr>
      <w:rPr>
        <w:rFonts w:ascii="Wingdings" w:hAnsi="Wingdings" w:hint="default"/>
      </w:rPr>
    </w:lvl>
    <w:lvl w:ilvl="3" w:tplc="080C0001" w:tentative="1">
      <w:start w:val="1"/>
      <w:numFmt w:val="bullet"/>
      <w:lvlText w:val=""/>
      <w:lvlJc w:val="left"/>
      <w:pPr>
        <w:ind w:left="3300" w:hanging="360"/>
      </w:pPr>
      <w:rPr>
        <w:rFonts w:ascii="Symbol" w:hAnsi="Symbol" w:hint="default"/>
      </w:rPr>
    </w:lvl>
    <w:lvl w:ilvl="4" w:tplc="080C0003" w:tentative="1">
      <w:start w:val="1"/>
      <w:numFmt w:val="bullet"/>
      <w:lvlText w:val="o"/>
      <w:lvlJc w:val="left"/>
      <w:pPr>
        <w:ind w:left="4020" w:hanging="360"/>
      </w:pPr>
      <w:rPr>
        <w:rFonts w:ascii="Courier New" w:hAnsi="Courier New" w:hint="default"/>
      </w:rPr>
    </w:lvl>
    <w:lvl w:ilvl="5" w:tplc="080C0005" w:tentative="1">
      <w:start w:val="1"/>
      <w:numFmt w:val="bullet"/>
      <w:lvlText w:val=""/>
      <w:lvlJc w:val="left"/>
      <w:pPr>
        <w:ind w:left="4740" w:hanging="360"/>
      </w:pPr>
      <w:rPr>
        <w:rFonts w:ascii="Wingdings" w:hAnsi="Wingdings" w:hint="default"/>
      </w:rPr>
    </w:lvl>
    <w:lvl w:ilvl="6" w:tplc="080C0001" w:tentative="1">
      <w:start w:val="1"/>
      <w:numFmt w:val="bullet"/>
      <w:lvlText w:val=""/>
      <w:lvlJc w:val="left"/>
      <w:pPr>
        <w:ind w:left="5460" w:hanging="360"/>
      </w:pPr>
      <w:rPr>
        <w:rFonts w:ascii="Symbol" w:hAnsi="Symbol" w:hint="default"/>
      </w:rPr>
    </w:lvl>
    <w:lvl w:ilvl="7" w:tplc="080C0003" w:tentative="1">
      <w:start w:val="1"/>
      <w:numFmt w:val="bullet"/>
      <w:lvlText w:val="o"/>
      <w:lvlJc w:val="left"/>
      <w:pPr>
        <w:ind w:left="6180" w:hanging="360"/>
      </w:pPr>
      <w:rPr>
        <w:rFonts w:ascii="Courier New" w:hAnsi="Courier New" w:hint="default"/>
      </w:rPr>
    </w:lvl>
    <w:lvl w:ilvl="8" w:tplc="080C0005" w:tentative="1">
      <w:start w:val="1"/>
      <w:numFmt w:val="bullet"/>
      <w:lvlText w:val=""/>
      <w:lvlJc w:val="left"/>
      <w:pPr>
        <w:ind w:left="6900" w:hanging="360"/>
      </w:pPr>
      <w:rPr>
        <w:rFonts w:ascii="Wingdings" w:hAnsi="Wingdings" w:hint="default"/>
      </w:rPr>
    </w:lvl>
  </w:abstractNum>
  <w:abstractNum w:abstractNumId="5" w15:restartNumberingAfterBreak="0">
    <w:nsid w:val="343F1B7E"/>
    <w:multiLevelType w:val="hybridMultilevel"/>
    <w:tmpl w:val="AFA2903E"/>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6" w15:restartNumberingAfterBreak="0">
    <w:nsid w:val="3ACF4C1F"/>
    <w:multiLevelType w:val="hybridMultilevel"/>
    <w:tmpl w:val="AFA2903E"/>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7" w15:restartNumberingAfterBreak="0">
    <w:nsid w:val="3D2F6F5E"/>
    <w:multiLevelType w:val="hybridMultilevel"/>
    <w:tmpl w:val="F6DAC9EE"/>
    <w:lvl w:ilvl="0" w:tplc="ABD0D166">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1400222"/>
    <w:multiLevelType w:val="hybridMultilevel"/>
    <w:tmpl w:val="CC6CC460"/>
    <w:lvl w:ilvl="0" w:tplc="612C52AA">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4A641B84"/>
    <w:multiLevelType w:val="hybridMultilevel"/>
    <w:tmpl w:val="42C6386A"/>
    <w:lvl w:ilvl="0" w:tplc="080C0001">
      <w:start w:val="1"/>
      <w:numFmt w:val="bullet"/>
      <w:lvlText w:val=""/>
      <w:lvlJc w:val="left"/>
      <w:pPr>
        <w:ind w:left="1140" w:hanging="360"/>
      </w:pPr>
      <w:rPr>
        <w:rFonts w:ascii="Symbol" w:hAnsi="Symbol" w:hint="default"/>
      </w:rPr>
    </w:lvl>
    <w:lvl w:ilvl="1" w:tplc="080C0003">
      <w:start w:val="1"/>
      <w:numFmt w:val="bullet"/>
      <w:lvlText w:val="o"/>
      <w:lvlJc w:val="left"/>
      <w:pPr>
        <w:ind w:left="1860" w:hanging="360"/>
      </w:pPr>
      <w:rPr>
        <w:rFonts w:ascii="Courier New" w:hAnsi="Courier New" w:hint="default"/>
      </w:rPr>
    </w:lvl>
    <w:lvl w:ilvl="2" w:tplc="080C0005" w:tentative="1">
      <w:start w:val="1"/>
      <w:numFmt w:val="bullet"/>
      <w:lvlText w:val=""/>
      <w:lvlJc w:val="left"/>
      <w:pPr>
        <w:ind w:left="2580" w:hanging="360"/>
      </w:pPr>
      <w:rPr>
        <w:rFonts w:ascii="Wingdings" w:hAnsi="Wingdings" w:hint="default"/>
      </w:rPr>
    </w:lvl>
    <w:lvl w:ilvl="3" w:tplc="080C0001" w:tentative="1">
      <w:start w:val="1"/>
      <w:numFmt w:val="bullet"/>
      <w:lvlText w:val=""/>
      <w:lvlJc w:val="left"/>
      <w:pPr>
        <w:ind w:left="3300" w:hanging="360"/>
      </w:pPr>
      <w:rPr>
        <w:rFonts w:ascii="Symbol" w:hAnsi="Symbol" w:hint="default"/>
      </w:rPr>
    </w:lvl>
    <w:lvl w:ilvl="4" w:tplc="080C0003" w:tentative="1">
      <w:start w:val="1"/>
      <w:numFmt w:val="bullet"/>
      <w:lvlText w:val="o"/>
      <w:lvlJc w:val="left"/>
      <w:pPr>
        <w:ind w:left="4020" w:hanging="360"/>
      </w:pPr>
      <w:rPr>
        <w:rFonts w:ascii="Courier New" w:hAnsi="Courier New" w:hint="default"/>
      </w:rPr>
    </w:lvl>
    <w:lvl w:ilvl="5" w:tplc="080C0005" w:tentative="1">
      <w:start w:val="1"/>
      <w:numFmt w:val="bullet"/>
      <w:lvlText w:val=""/>
      <w:lvlJc w:val="left"/>
      <w:pPr>
        <w:ind w:left="4740" w:hanging="360"/>
      </w:pPr>
      <w:rPr>
        <w:rFonts w:ascii="Wingdings" w:hAnsi="Wingdings" w:hint="default"/>
      </w:rPr>
    </w:lvl>
    <w:lvl w:ilvl="6" w:tplc="080C0001" w:tentative="1">
      <w:start w:val="1"/>
      <w:numFmt w:val="bullet"/>
      <w:lvlText w:val=""/>
      <w:lvlJc w:val="left"/>
      <w:pPr>
        <w:ind w:left="5460" w:hanging="360"/>
      </w:pPr>
      <w:rPr>
        <w:rFonts w:ascii="Symbol" w:hAnsi="Symbol" w:hint="default"/>
      </w:rPr>
    </w:lvl>
    <w:lvl w:ilvl="7" w:tplc="080C0003" w:tentative="1">
      <w:start w:val="1"/>
      <w:numFmt w:val="bullet"/>
      <w:lvlText w:val="o"/>
      <w:lvlJc w:val="left"/>
      <w:pPr>
        <w:ind w:left="6180" w:hanging="360"/>
      </w:pPr>
      <w:rPr>
        <w:rFonts w:ascii="Courier New" w:hAnsi="Courier New" w:hint="default"/>
      </w:rPr>
    </w:lvl>
    <w:lvl w:ilvl="8" w:tplc="080C0005" w:tentative="1">
      <w:start w:val="1"/>
      <w:numFmt w:val="bullet"/>
      <w:lvlText w:val=""/>
      <w:lvlJc w:val="left"/>
      <w:pPr>
        <w:ind w:left="6900" w:hanging="360"/>
      </w:pPr>
      <w:rPr>
        <w:rFonts w:ascii="Wingdings" w:hAnsi="Wingdings" w:hint="default"/>
      </w:rPr>
    </w:lvl>
  </w:abstractNum>
  <w:abstractNum w:abstractNumId="10" w15:restartNumberingAfterBreak="0">
    <w:nsid w:val="5FE52A31"/>
    <w:multiLevelType w:val="hybridMultilevel"/>
    <w:tmpl w:val="F15E6D9A"/>
    <w:lvl w:ilvl="0" w:tplc="36D605CE">
      <w:numFmt w:val="bullet"/>
      <w:lvlText w:val="-"/>
      <w:lvlJc w:val="left"/>
      <w:pPr>
        <w:ind w:left="3192" w:hanging="360"/>
      </w:pPr>
      <w:rPr>
        <w:rFonts w:ascii="Calibri" w:eastAsia="Times New Roman" w:hAnsi="Calibri" w:cs="Calibri" w:hint="default"/>
      </w:rPr>
    </w:lvl>
    <w:lvl w:ilvl="1" w:tplc="080C0003" w:tentative="1">
      <w:start w:val="1"/>
      <w:numFmt w:val="bullet"/>
      <w:lvlText w:val="o"/>
      <w:lvlJc w:val="left"/>
      <w:pPr>
        <w:ind w:left="3912" w:hanging="360"/>
      </w:pPr>
      <w:rPr>
        <w:rFonts w:ascii="Courier New" w:hAnsi="Courier New" w:cs="Courier New" w:hint="default"/>
      </w:rPr>
    </w:lvl>
    <w:lvl w:ilvl="2" w:tplc="080C0005" w:tentative="1">
      <w:start w:val="1"/>
      <w:numFmt w:val="bullet"/>
      <w:lvlText w:val=""/>
      <w:lvlJc w:val="left"/>
      <w:pPr>
        <w:ind w:left="4632" w:hanging="360"/>
      </w:pPr>
      <w:rPr>
        <w:rFonts w:ascii="Wingdings" w:hAnsi="Wingdings" w:hint="default"/>
      </w:rPr>
    </w:lvl>
    <w:lvl w:ilvl="3" w:tplc="080C0001" w:tentative="1">
      <w:start w:val="1"/>
      <w:numFmt w:val="bullet"/>
      <w:lvlText w:val=""/>
      <w:lvlJc w:val="left"/>
      <w:pPr>
        <w:ind w:left="5352" w:hanging="360"/>
      </w:pPr>
      <w:rPr>
        <w:rFonts w:ascii="Symbol" w:hAnsi="Symbol" w:hint="default"/>
      </w:rPr>
    </w:lvl>
    <w:lvl w:ilvl="4" w:tplc="080C0003" w:tentative="1">
      <w:start w:val="1"/>
      <w:numFmt w:val="bullet"/>
      <w:lvlText w:val="o"/>
      <w:lvlJc w:val="left"/>
      <w:pPr>
        <w:ind w:left="6072" w:hanging="360"/>
      </w:pPr>
      <w:rPr>
        <w:rFonts w:ascii="Courier New" w:hAnsi="Courier New" w:cs="Courier New" w:hint="default"/>
      </w:rPr>
    </w:lvl>
    <w:lvl w:ilvl="5" w:tplc="080C0005" w:tentative="1">
      <w:start w:val="1"/>
      <w:numFmt w:val="bullet"/>
      <w:lvlText w:val=""/>
      <w:lvlJc w:val="left"/>
      <w:pPr>
        <w:ind w:left="6792" w:hanging="360"/>
      </w:pPr>
      <w:rPr>
        <w:rFonts w:ascii="Wingdings" w:hAnsi="Wingdings" w:hint="default"/>
      </w:rPr>
    </w:lvl>
    <w:lvl w:ilvl="6" w:tplc="080C0001" w:tentative="1">
      <w:start w:val="1"/>
      <w:numFmt w:val="bullet"/>
      <w:lvlText w:val=""/>
      <w:lvlJc w:val="left"/>
      <w:pPr>
        <w:ind w:left="7512" w:hanging="360"/>
      </w:pPr>
      <w:rPr>
        <w:rFonts w:ascii="Symbol" w:hAnsi="Symbol" w:hint="default"/>
      </w:rPr>
    </w:lvl>
    <w:lvl w:ilvl="7" w:tplc="080C0003" w:tentative="1">
      <w:start w:val="1"/>
      <w:numFmt w:val="bullet"/>
      <w:lvlText w:val="o"/>
      <w:lvlJc w:val="left"/>
      <w:pPr>
        <w:ind w:left="8232" w:hanging="360"/>
      </w:pPr>
      <w:rPr>
        <w:rFonts w:ascii="Courier New" w:hAnsi="Courier New" w:cs="Courier New" w:hint="default"/>
      </w:rPr>
    </w:lvl>
    <w:lvl w:ilvl="8" w:tplc="080C0005" w:tentative="1">
      <w:start w:val="1"/>
      <w:numFmt w:val="bullet"/>
      <w:lvlText w:val=""/>
      <w:lvlJc w:val="left"/>
      <w:pPr>
        <w:ind w:left="8952" w:hanging="360"/>
      </w:pPr>
      <w:rPr>
        <w:rFonts w:ascii="Wingdings" w:hAnsi="Wingdings" w:hint="default"/>
      </w:rPr>
    </w:lvl>
  </w:abstractNum>
  <w:abstractNum w:abstractNumId="11" w15:restartNumberingAfterBreak="0">
    <w:nsid w:val="62EE0110"/>
    <w:multiLevelType w:val="hybridMultilevel"/>
    <w:tmpl w:val="FBF8FED6"/>
    <w:lvl w:ilvl="0" w:tplc="9C9228DC">
      <w:start w:val="1"/>
      <w:numFmt w:val="decimal"/>
      <w:lvlText w:val="%1."/>
      <w:lvlJc w:val="left"/>
      <w:pPr>
        <w:tabs>
          <w:tab w:val="num" w:pos="720"/>
        </w:tabs>
        <w:ind w:left="720" w:hanging="360"/>
      </w:pPr>
      <w:rPr>
        <w:rFonts w:hint="default"/>
        <w:b w:val="0"/>
        <w:sz w:val="22"/>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73461CC1"/>
    <w:multiLevelType w:val="hybridMultilevel"/>
    <w:tmpl w:val="95B8537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8"/>
  </w:num>
  <w:num w:numId="2">
    <w:abstractNumId w:val="0"/>
  </w:num>
  <w:num w:numId="3">
    <w:abstractNumId w:val="11"/>
  </w:num>
  <w:num w:numId="4">
    <w:abstractNumId w:val="9"/>
  </w:num>
  <w:num w:numId="5">
    <w:abstractNumId w:val="1"/>
  </w:num>
  <w:num w:numId="6">
    <w:abstractNumId w:val="12"/>
  </w:num>
  <w:num w:numId="7">
    <w:abstractNumId w:val="6"/>
  </w:num>
  <w:num w:numId="8">
    <w:abstractNumId w:val="5"/>
  </w:num>
  <w:num w:numId="9">
    <w:abstractNumId w:val="3"/>
  </w:num>
  <w:num w:numId="10">
    <w:abstractNumId w:val="4"/>
  </w:num>
  <w:num w:numId="11">
    <w:abstractNumId w:val="2"/>
  </w:num>
  <w:num w:numId="12">
    <w:abstractNumId w:val="7"/>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chartTrackingRefBased/>
  <w15:docId w15:val="{33C052EF-C9F4-482C-931B-C75ABDF4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outlineLvl w:val="0"/>
    </w:pPr>
    <w:rPr>
      <w:rFonts w:ascii="Arial" w:hAnsi="Arial"/>
      <w:b/>
      <w:sz w:val="24"/>
      <w:u w:val="single"/>
    </w:rPr>
  </w:style>
  <w:style w:type="paragraph" w:styleId="Titre2">
    <w:name w:val="heading 2"/>
    <w:basedOn w:val="Normal"/>
    <w:next w:val="Normal"/>
    <w:qFormat/>
    <w:pPr>
      <w:keepNext/>
      <w:jc w:val="both"/>
      <w:outlineLvl w:val="1"/>
    </w:pPr>
    <w:rPr>
      <w:rFonts w:ascii="Arial" w:hAnsi="Arial"/>
      <w:b/>
      <w:i/>
      <w:iCs/>
      <w:sz w:val="22"/>
      <w:u w:val="single"/>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4">
    <w:name w:val="heading 4"/>
    <w:basedOn w:val="Normal"/>
    <w:next w:val="Normal"/>
    <w:qFormat/>
    <w:pPr>
      <w:keepNext/>
      <w:spacing w:before="240" w:after="60"/>
      <w:outlineLvl w:val="3"/>
    </w:pPr>
    <w:rPr>
      <w:b/>
      <w:bCs/>
      <w:sz w:val="28"/>
      <w:szCs w:val="28"/>
    </w:rPr>
  </w:style>
  <w:style w:type="paragraph" w:styleId="Titre5">
    <w:name w:val="heading 5"/>
    <w:basedOn w:val="Normal"/>
    <w:next w:val="Normal"/>
    <w:qFormat/>
    <w:pPr>
      <w:spacing w:before="240" w:after="60"/>
      <w:outlineLvl w:val="4"/>
    </w:pPr>
    <w:rPr>
      <w:b/>
      <w:bCs/>
      <w:i/>
      <w:iCs/>
      <w:sz w:val="26"/>
      <w:szCs w:val="26"/>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Arial" w:hAnsi="Arial"/>
      <w:b/>
      <w:sz w:val="28"/>
      <w:u w:val="single"/>
    </w:rPr>
  </w:style>
  <w:style w:type="paragraph" w:styleId="Corpsdetexte2">
    <w:name w:val="Body Text 2"/>
    <w:basedOn w:val="Normal"/>
    <w:rPr>
      <w:rFonts w:ascii="Arial" w:hAnsi="Arial"/>
      <w:sz w:val="22"/>
    </w:rPr>
  </w:style>
  <w:style w:type="paragraph" w:customStyle="1" w:styleId="OmniPage1">
    <w:name w:val="OmniPage #1"/>
    <w:basedOn w:val="Normal"/>
    <w:rPr>
      <w:lang w:val="en-US"/>
    </w:rPr>
  </w:style>
  <w:style w:type="paragraph" w:styleId="NormalWeb">
    <w:name w:val="Normal (Web)"/>
    <w:basedOn w:val="Normal"/>
    <w:pPr>
      <w:spacing w:before="100" w:beforeAutospacing="1" w:after="100" w:afterAutospacing="1"/>
    </w:pPr>
    <w:rPr>
      <w:sz w:val="24"/>
      <w:szCs w:val="24"/>
    </w:rPr>
  </w:style>
  <w:style w:type="paragraph" w:styleId="Titre">
    <w:name w:val="Title"/>
    <w:basedOn w:val="Normal"/>
    <w:qFormat/>
    <w:pPr>
      <w:jc w:val="center"/>
    </w:pPr>
    <w:rPr>
      <w:rFonts w:ascii="Arial" w:hAnsi="Arial"/>
      <w:b/>
      <w:bCs/>
      <w:i/>
      <w:iCs/>
      <w:smallCaps/>
      <w:sz w:val="28"/>
      <w:u w:val="single"/>
    </w:rPr>
  </w:style>
  <w:style w:type="paragraph" w:styleId="Retraitcorpsdetexte">
    <w:name w:val="Body Text Indent"/>
    <w:basedOn w:val="Normal"/>
    <w:pPr>
      <w:spacing w:after="120"/>
      <w:ind w:left="283"/>
    </w:pPr>
  </w:style>
  <w:style w:type="paragraph" w:styleId="Notedebasdepage">
    <w:name w:val="footnote text"/>
    <w:basedOn w:val="Normal"/>
    <w:semiHidden/>
  </w:style>
  <w:style w:type="paragraph" w:styleId="Retraitcorpsdetexte2">
    <w:name w:val="Body Text Indent 2"/>
    <w:basedOn w:val="Normal"/>
    <w:pPr>
      <w:spacing w:after="120" w:line="480" w:lineRule="auto"/>
      <w:ind w:left="283"/>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semiHidden/>
    <w:rPr>
      <w:vertAlign w:val="superscript"/>
    </w:rPr>
  </w:style>
  <w:style w:type="paragraph" w:customStyle="1" w:styleId="majusculegras">
    <w:name w:val="majuscule gras"/>
    <w:basedOn w:val="Normal"/>
    <w:pPr>
      <w:tabs>
        <w:tab w:val="left" w:pos="4537"/>
      </w:tabs>
    </w:pPr>
    <w:rPr>
      <w:b/>
      <w:sz w:val="22"/>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character" w:customStyle="1" w:styleId="st1">
    <w:name w:val="st1"/>
    <w:basedOn w:val="Policepardfaut"/>
  </w:style>
  <w:style w:type="paragraph" w:styleId="Corpsdetexte3">
    <w:name w:val="Body Text 3"/>
    <w:basedOn w:val="Normal"/>
    <w:link w:val="Corpsdetexte3Car"/>
    <w:pPr>
      <w:suppressAutoHyphens/>
      <w:spacing w:after="120"/>
    </w:pPr>
    <w:rPr>
      <w:sz w:val="16"/>
      <w:szCs w:val="16"/>
      <w:lang w:eastAsia="ar-SA"/>
    </w:rPr>
  </w:style>
  <w:style w:type="paragraph" w:styleId="Textedebulles">
    <w:name w:val="Balloon Text"/>
    <w:basedOn w:val="Normal"/>
    <w:semiHidden/>
    <w:rPr>
      <w:rFonts w:ascii="Tahoma" w:hAnsi="Tahoma" w:cs="Tahoma"/>
      <w:sz w:val="16"/>
      <w:szCs w:val="16"/>
    </w:rPr>
  </w:style>
  <w:style w:type="character" w:styleId="Lienhypertexte">
    <w:name w:val="Hyperlink"/>
    <w:rPr>
      <w:color w:val="0000FF"/>
      <w:u w:val="single"/>
    </w:rPr>
  </w:style>
  <w:style w:type="paragraph" w:customStyle="1" w:styleId="Sansinterligne1">
    <w:name w:val="Sans interligne1"/>
    <w:pPr>
      <w:suppressAutoHyphens/>
    </w:pPr>
    <w:rPr>
      <w:rFonts w:ascii="Calibri" w:eastAsia="Arial" w:hAnsi="Calibri"/>
      <w:sz w:val="22"/>
      <w:szCs w:val="22"/>
      <w:lang w:val="fr-FR" w:eastAsia="ar-SA"/>
    </w:rPr>
  </w:style>
  <w:style w:type="paragraph" w:customStyle="1" w:styleId="Paragraphedeliste1">
    <w:name w:val="Paragraphe de liste1"/>
    <w:basedOn w:val="Normal"/>
    <w:pPr>
      <w:ind w:left="720"/>
      <w:contextualSpacing/>
    </w:pPr>
    <w:rPr>
      <w:sz w:val="24"/>
      <w:szCs w:val="24"/>
    </w:rPr>
  </w:style>
  <w:style w:type="character" w:customStyle="1" w:styleId="Corpsdetexte3Car">
    <w:name w:val="Corps de texte 3 Car"/>
    <w:link w:val="Corpsdetexte3"/>
    <w:rPr>
      <w:sz w:val="16"/>
      <w:szCs w:val="16"/>
      <w:lang w:val="fr-FR" w:eastAsia="ar-SA"/>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fr-FR" w:eastAsia="fr-FR"/>
    </w:rPr>
  </w:style>
  <w:style w:type="paragraph" w:customStyle="1" w:styleId="Listecouleur-Accent11">
    <w:name w:val="Liste couleur - Accent 11"/>
    <w:basedOn w:val="Normal"/>
    <w:uiPriority w:val="34"/>
    <w:qFormat/>
    <w:pPr>
      <w:ind w:left="720"/>
      <w:contextualSpacing/>
    </w:pPr>
  </w:style>
  <w:style w:type="character" w:customStyle="1" w:styleId="highlight">
    <w:name w:val="highlight"/>
    <w:basedOn w:val="Policepardfaut"/>
  </w:style>
  <w:style w:type="paragraph" w:styleId="Paragraphedeliste">
    <w:name w:val="List Paragraph"/>
    <w:basedOn w:val="Normal"/>
    <w:uiPriority w:val="72"/>
    <w:qFormat/>
    <w:pPr>
      <w:ind w:left="708"/>
    </w:pPr>
  </w:style>
  <w:style w:type="paragraph" w:customStyle="1" w:styleId="Default">
    <w:name w:val="Default"/>
    <w:pPr>
      <w:autoSpaceDE w:val="0"/>
      <w:autoSpaceDN w:val="0"/>
      <w:adjustRightInd w:val="0"/>
    </w:pPr>
    <w:rPr>
      <w:color w:val="000000"/>
      <w:sz w:val="24"/>
      <w:szCs w:val="24"/>
    </w:rPr>
  </w:style>
  <w:style w:type="character" w:customStyle="1" w:styleId="outputlabel">
    <w:name w:val="outputlabel"/>
  </w:style>
  <w:style w:type="paragraph" w:styleId="Rvision">
    <w:name w:val="Revision"/>
    <w:hidden/>
    <w:uiPriority w:val="71"/>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72908">
      <w:bodyDiv w:val="1"/>
      <w:marLeft w:val="0"/>
      <w:marRight w:val="0"/>
      <w:marTop w:val="0"/>
      <w:marBottom w:val="0"/>
      <w:divBdr>
        <w:top w:val="none" w:sz="0" w:space="0" w:color="auto"/>
        <w:left w:val="none" w:sz="0" w:space="0" w:color="auto"/>
        <w:bottom w:val="none" w:sz="0" w:space="0" w:color="auto"/>
        <w:right w:val="none" w:sz="0" w:space="0" w:color="auto"/>
      </w:divBdr>
      <w:divsChild>
        <w:div w:id="35551169">
          <w:marLeft w:val="0"/>
          <w:marRight w:val="0"/>
          <w:marTop w:val="0"/>
          <w:marBottom w:val="0"/>
          <w:divBdr>
            <w:top w:val="none" w:sz="0" w:space="0" w:color="auto"/>
            <w:left w:val="none" w:sz="0" w:space="0" w:color="auto"/>
            <w:bottom w:val="none" w:sz="0" w:space="0" w:color="auto"/>
            <w:right w:val="none" w:sz="0" w:space="0" w:color="auto"/>
          </w:divBdr>
        </w:div>
        <w:div w:id="310867690">
          <w:marLeft w:val="0"/>
          <w:marRight w:val="0"/>
          <w:marTop w:val="0"/>
          <w:marBottom w:val="0"/>
          <w:divBdr>
            <w:top w:val="none" w:sz="0" w:space="0" w:color="auto"/>
            <w:left w:val="none" w:sz="0" w:space="0" w:color="auto"/>
            <w:bottom w:val="none" w:sz="0" w:space="0" w:color="auto"/>
            <w:right w:val="none" w:sz="0" w:space="0" w:color="auto"/>
          </w:divBdr>
        </w:div>
        <w:div w:id="690641531">
          <w:marLeft w:val="0"/>
          <w:marRight w:val="0"/>
          <w:marTop w:val="0"/>
          <w:marBottom w:val="0"/>
          <w:divBdr>
            <w:top w:val="none" w:sz="0" w:space="0" w:color="auto"/>
            <w:left w:val="none" w:sz="0" w:space="0" w:color="auto"/>
            <w:bottom w:val="none" w:sz="0" w:space="0" w:color="auto"/>
            <w:right w:val="none" w:sz="0" w:space="0" w:color="auto"/>
          </w:divBdr>
        </w:div>
        <w:div w:id="785849883">
          <w:marLeft w:val="0"/>
          <w:marRight w:val="0"/>
          <w:marTop w:val="0"/>
          <w:marBottom w:val="0"/>
          <w:divBdr>
            <w:top w:val="none" w:sz="0" w:space="0" w:color="auto"/>
            <w:left w:val="none" w:sz="0" w:space="0" w:color="auto"/>
            <w:bottom w:val="none" w:sz="0" w:space="0" w:color="auto"/>
            <w:right w:val="none" w:sz="0" w:space="0" w:color="auto"/>
          </w:divBdr>
        </w:div>
        <w:div w:id="891889264">
          <w:marLeft w:val="0"/>
          <w:marRight w:val="0"/>
          <w:marTop w:val="0"/>
          <w:marBottom w:val="0"/>
          <w:divBdr>
            <w:top w:val="none" w:sz="0" w:space="0" w:color="auto"/>
            <w:left w:val="none" w:sz="0" w:space="0" w:color="auto"/>
            <w:bottom w:val="none" w:sz="0" w:space="0" w:color="auto"/>
            <w:right w:val="none" w:sz="0" w:space="0" w:color="auto"/>
          </w:divBdr>
        </w:div>
        <w:div w:id="1239560123">
          <w:marLeft w:val="0"/>
          <w:marRight w:val="0"/>
          <w:marTop w:val="0"/>
          <w:marBottom w:val="0"/>
          <w:divBdr>
            <w:top w:val="none" w:sz="0" w:space="0" w:color="auto"/>
            <w:left w:val="none" w:sz="0" w:space="0" w:color="auto"/>
            <w:bottom w:val="none" w:sz="0" w:space="0" w:color="auto"/>
            <w:right w:val="none" w:sz="0" w:space="0" w:color="auto"/>
          </w:divBdr>
        </w:div>
        <w:div w:id="1397896083">
          <w:marLeft w:val="0"/>
          <w:marRight w:val="0"/>
          <w:marTop w:val="0"/>
          <w:marBottom w:val="0"/>
          <w:divBdr>
            <w:top w:val="none" w:sz="0" w:space="0" w:color="auto"/>
            <w:left w:val="none" w:sz="0" w:space="0" w:color="auto"/>
            <w:bottom w:val="none" w:sz="0" w:space="0" w:color="auto"/>
            <w:right w:val="none" w:sz="0" w:space="0" w:color="auto"/>
          </w:divBdr>
        </w:div>
      </w:divsChild>
    </w:div>
    <w:div w:id="601692195">
      <w:bodyDiv w:val="1"/>
      <w:marLeft w:val="0"/>
      <w:marRight w:val="0"/>
      <w:marTop w:val="0"/>
      <w:marBottom w:val="0"/>
      <w:divBdr>
        <w:top w:val="none" w:sz="0" w:space="0" w:color="auto"/>
        <w:left w:val="none" w:sz="0" w:space="0" w:color="auto"/>
        <w:bottom w:val="none" w:sz="0" w:space="0" w:color="auto"/>
        <w:right w:val="none" w:sz="0" w:space="0" w:color="auto"/>
      </w:divBdr>
    </w:div>
    <w:div w:id="781727578">
      <w:bodyDiv w:val="1"/>
      <w:marLeft w:val="0"/>
      <w:marRight w:val="0"/>
      <w:marTop w:val="0"/>
      <w:marBottom w:val="0"/>
      <w:divBdr>
        <w:top w:val="none" w:sz="0" w:space="0" w:color="auto"/>
        <w:left w:val="none" w:sz="0" w:space="0" w:color="auto"/>
        <w:bottom w:val="none" w:sz="0" w:space="0" w:color="auto"/>
        <w:right w:val="none" w:sz="0" w:space="0" w:color="auto"/>
      </w:divBdr>
    </w:div>
    <w:div w:id="833110802">
      <w:bodyDiv w:val="1"/>
      <w:marLeft w:val="0"/>
      <w:marRight w:val="0"/>
      <w:marTop w:val="0"/>
      <w:marBottom w:val="0"/>
      <w:divBdr>
        <w:top w:val="none" w:sz="0" w:space="0" w:color="auto"/>
        <w:left w:val="none" w:sz="0" w:space="0" w:color="auto"/>
        <w:bottom w:val="none" w:sz="0" w:space="0" w:color="auto"/>
        <w:right w:val="none" w:sz="0" w:space="0" w:color="auto"/>
      </w:divBdr>
    </w:div>
    <w:div w:id="910192180">
      <w:bodyDiv w:val="1"/>
      <w:marLeft w:val="0"/>
      <w:marRight w:val="0"/>
      <w:marTop w:val="0"/>
      <w:marBottom w:val="0"/>
      <w:divBdr>
        <w:top w:val="none" w:sz="0" w:space="0" w:color="auto"/>
        <w:left w:val="none" w:sz="0" w:space="0" w:color="auto"/>
        <w:bottom w:val="none" w:sz="0" w:space="0" w:color="auto"/>
        <w:right w:val="none" w:sz="0" w:space="0" w:color="auto"/>
      </w:divBdr>
    </w:div>
    <w:div w:id="1080836440">
      <w:bodyDiv w:val="1"/>
      <w:marLeft w:val="0"/>
      <w:marRight w:val="0"/>
      <w:marTop w:val="0"/>
      <w:marBottom w:val="0"/>
      <w:divBdr>
        <w:top w:val="none" w:sz="0" w:space="0" w:color="auto"/>
        <w:left w:val="none" w:sz="0" w:space="0" w:color="auto"/>
        <w:bottom w:val="none" w:sz="0" w:space="0" w:color="auto"/>
        <w:right w:val="none" w:sz="0" w:space="0" w:color="auto"/>
      </w:divBdr>
      <w:divsChild>
        <w:div w:id="34627937">
          <w:marLeft w:val="0"/>
          <w:marRight w:val="0"/>
          <w:marTop w:val="0"/>
          <w:marBottom w:val="0"/>
          <w:divBdr>
            <w:top w:val="none" w:sz="0" w:space="0" w:color="auto"/>
            <w:left w:val="none" w:sz="0" w:space="0" w:color="auto"/>
            <w:bottom w:val="none" w:sz="0" w:space="0" w:color="auto"/>
            <w:right w:val="none" w:sz="0" w:space="0" w:color="auto"/>
          </w:divBdr>
        </w:div>
        <w:div w:id="159782510">
          <w:marLeft w:val="0"/>
          <w:marRight w:val="0"/>
          <w:marTop w:val="0"/>
          <w:marBottom w:val="0"/>
          <w:divBdr>
            <w:top w:val="none" w:sz="0" w:space="0" w:color="auto"/>
            <w:left w:val="none" w:sz="0" w:space="0" w:color="auto"/>
            <w:bottom w:val="none" w:sz="0" w:space="0" w:color="auto"/>
            <w:right w:val="none" w:sz="0" w:space="0" w:color="auto"/>
          </w:divBdr>
        </w:div>
        <w:div w:id="301078982">
          <w:marLeft w:val="0"/>
          <w:marRight w:val="0"/>
          <w:marTop w:val="0"/>
          <w:marBottom w:val="0"/>
          <w:divBdr>
            <w:top w:val="none" w:sz="0" w:space="0" w:color="auto"/>
            <w:left w:val="none" w:sz="0" w:space="0" w:color="auto"/>
            <w:bottom w:val="none" w:sz="0" w:space="0" w:color="auto"/>
            <w:right w:val="none" w:sz="0" w:space="0" w:color="auto"/>
          </w:divBdr>
        </w:div>
        <w:div w:id="333728006">
          <w:marLeft w:val="0"/>
          <w:marRight w:val="0"/>
          <w:marTop w:val="0"/>
          <w:marBottom w:val="0"/>
          <w:divBdr>
            <w:top w:val="none" w:sz="0" w:space="0" w:color="auto"/>
            <w:left w:val="none" w:sz="0" w:space="0" w:color="auto"/>
            <w:bottom w:val="none" w:sz="0" w:space="0" w:color="auto"/>
            <w:right w:val="none" w:sz="0" w:space="0" w:color="auto"/>
          </w:divBdr>
        </w:div>
        <w:div w:id="810173037">
          <w:marLeft w:val="0"/>
          <w:marRight w:val="0"/>
          <w:marTop w:val="0"/>
          <w:marBottom w:val="0"/>
          <w:divBdr>
            <w:top w:val="none" w:sz="0" w:space="0" w:color="auto"/>
            <w:left w:val="none" w:sz="0" w:space="0" w:color="auto"/>
            <w:bottom w:val="none" w:sz="0" w:space="0" w:color="auto"/>
            <w:right w:val="none" w:sz="0" w:space="0" w:color="auto"/>
          </w:divBdr>
        </w:div>
        <w:div w:id="1167206657">
          <w:marLeft w:val="0"/>
          <w:marRight w:val="0"/>
          <w:marTop w:val="0"/>
          <w:marBottom w:val="0"/>
          <w:divBdr>
            <w:top w:val="none" w:sz="0" w:space="0" w:color="auto"/>
            <w:left w:val="none" w:sz="0" w:space="0" w:color="auto"/>
            <w:bottom w:val="none" w:sz="0" w:space="0" w:color="auto"/>
            <w:right w:val="none" w:sz="0" w:space="0" w:color="auto"/>
          </w:divBdr>
        </w:div>
        <w:div w:id="1723626544">
          <w:marLeft w:val="0"/>
          <w:marRight w:val="0"/>
          <w:marTop w:val="0"/>
          <w:marBottom w:val="0"/>
          <w:divBdr>
            <w:top w:val="none" w:sz="0" w:space="0" w:color="auto"/>
            <w:left w:val="none" w:sz="0" w:space="0" w:color="auto"/>
            <w:bottom w:val="none" w:sz="0" w:space="0" w:color="auto"/>
            <w:right w:val="none" w:sz="0" w:space="0" w:color="auto"/>
          </w:divBdr>
        </w:div>
        <w:div w:id="2018967917">
          <w:marLeft w:val="0"/>
          <w:marRight w:val="0"/>
          <w:marTop w:val="0"/>
          <w:marBottom w:val="0"/>
          <w:divBdr>
            <w:top w:val="none" w:sz="0" w:space="0" w:color="auto"/>
            <w:left w:val="none" w:sz="0" w:space="0" w:color="auto"/>
            <w:bottom w:val="none" w:sz="0" w:space="0" w:color="auto"/>
            <w:right w:val="none" w:sz="0" w:space="0" w:color="auto"/>
          </w:divBdr>
        </w:div>
        <w:div w:id="2141529238">
          <w:marLeft w:val="0"/>
          <w:marRight w:val="0"/>
          <w:marTop w:val="0"/>
          <w:marBottom w:val="0"/>
          <w:divBdr>
            <w:top w:val="none" w:sz="0" w:space="0" w:color="auto"/>
            <w:left w:val="none" w:sz="0" w:space="0" w:color="auto"/>
            <w:bottom w:val="none" w:sz="0" w:space="0" w:color="auto"/>
            <w:right w:val="none" w:sz="0" w:space="0" w:color="auto"/>
          </w:divBdr>
        </w:div>
      </w:divsChild>
    </w:div>
    <w:div w:id="1324117934">
      <w:bodyDiv w:val="1"/>
      <w:marLeft w:val="0"/>
      <w:marRight w:val="0"/>
      <w:marTop w:val="0"/>
      <w:marBottom w:val="0"/>
      <w:divBdr>
        <w:top w:val="none" w:sz="0" w:space="0" w:color="auto"/>
        <w:left w:val="none" w:sz="0" w:space="0" w:color="auto"/>
        <w:bottom w:val="none" w:sz="0" w:space="0" w:color="auto"/>
        <w:right w:val="none" w:sz="0" w:space="0" w:color="auto"/>
      </w:divBdr>
      <w:divsChild>
        <w:div w:id="2146239510">
          <w:marLeft w:val="0"/>
          <w:marRight w:val="0"/>
          <w:marTop w:val="30"/>
          <w:marBottom w:val="0"/>
          <w:divBdr>
            <w:top w:val="none" w:sz="0" w:space="0" w:color="auto"/>
            <w:left w:val="none" w:sz="0" w:space="0" w:color="auto"/>
            <w:bottom w:val="none" w:sz="0" w:space="0" w:color="auto"/>
            <w:right w:val="none" w:sz="0" w:space="0" w:color="auto"/>
          </w:divBdr>
          <w:divsChild>
            <w:div w:id="497425650">
              <w:marLeft w:val="0"/>
              <w:marRight w:val="0"/>
              <w:marTop w:val="100"/>
              <w:marBottom w:val="100"/>
              <w:divBdr>
                <w:top w:val="none" w:sz="0" w:space="0" w:color="auto"/>
                <w:left w:val="none" w:sz="0" w:space="0" w:color="auto"/>
                <w:bottom w:val="none" w:sz="0" w:space="0" w:color="auto"/>
                <w:right w:val="none" w:sz="0" w:space="0" w:color="auto"/>
              </w:divBdr>
              <w:divsChild>
                <w:div w:id="1469126265">
                  <w:marLeft w:val="0"/>
                  <w:marRight w:val="0"/>
                  <w:marTop w:val="0"/>
                  <w:marBottom w:val="0"/>
                  <w:divBdr>
                    <w:top w:val="none" w:sz="0" w:space="0" w:color="auto"/>
                    <w:left w:val="none" w:sz="0" w:space="0" w:color="auto"/>
                    <w:bottom w:val="none" w:sz="0" w:space="0" w:color="auto"/>
                    <w:right w:val="none" w:sz="0" w:space="0" w:color="auto"/>
                  </w:divBdr>
                  <w:divsChild>
                    <w:div w:id="1454711242">
                      <w:marLeft w:val="0"/>
                      <w:marRight w:val="0"/>
                      <w:marTop w:val="0"/>
                      <w:marBottom w:val="0"/>
                      <w:divBdr>
                        <w:top w:val="none" w:sz="0" w:space="0" w:color="auto"/>
                        <w:left w:val="none" w:sz="0" w:space="0" w:color="auto"/>
                        <w:bottom w:val="none" w:sz="0" w:space="0" w:color="auto"/>
                        <w:right w:val="none" w:sz="0" w:space="0" w:color="auto"/>
                      </w:divBdr>
                      <w:divsChild>
                        <w:div w:id="1568759096">
                          <w:marLeft w:val="0"/>
                          <w:marRight w:val="0"/>
                          <w:marTop w:val="0"/>
                          <w:marBottom w:val="0"/>
                          <w:divBdr>
                            <w:top w:val="none" w:sz="0" w:space="0" w:color="auto"/>
                            <w:left w:val="none" w:sz="0" w:space="0" w:color="auto"/>
                            <w:bottom w:val="none" w:sz="0" w:space="0" w:color="auto"/>
                            <w:right w:val="none" w:sz="0" w:space="0" w:color="auto"/>
                          </w:divBdr>
                          <w:divsChild>
                            <w:div w:id="140086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1648328">
      <w:bodyDiv w:val="1"/>
      <w:marLeft w:val="0"/>
      <w:marRight w:val="0"/>
      <w:marTop w:val="0"/>
      <w:marBottom w:val="0"/>
      <w:divBdr>
        <w:top w:val="none" w:sz="0" w:space="0" w:color="auto"/>
        <w:left w:val="none" w:sz="0" w:space="0" w:color="auto"/>
        <w:bottom w:val="none" w:sz="0" w:space="0" w:color="auto"/>
        <w:right w:val="none" w:sz="0" w:space="0" w:color="auto"/>
      </w:divBdr>
    </w:div>
    <w:div w:id="2024669820">
      <w:bodyDiv w:val="1"/>
      <w:marLeft w:val="0"/>
      <w:marRight w:val="0"/>
      <w:marTop w:val="0"/>
      <w:marBottom w:val="0"/>
      <w:divBdr>
        <w:top w:val="none" w:sz="0" w:space="0" w:color="auto"/>
        <w:left w:val="none" w:sz="0" w:space="0" w:color="auto"/>
        <w:bottom w:val="none" w:sz="0" w:space="0" w:color="auto"/>
        <w:right w:val="none" w:sz="0" w:space="0" w:color="auto"/>
      </w:divBdr>
    </w:div>
    <w:div w:id="2047095759">
      <w:bodyDiv w:val="1"/>
      <w:marLeft w:val="0"/>
      <w:marRight w:val="0"/>
      <w:marTop w:val="0"/>
      <w:marBottom w:val="0"/>
      <w:divBdr>
        <w:top w:val="none" w:sz="0" w:space="0" w:color="auto"/>
        <w:left w:val="none" w:sz="0" w:space="0" w:color="auto"/>
        <w:bottom w:val="none" w:sz="0" w:space="0" w:color="auto"/>
        <w:right w:val="none" w:sz="0" w:space="0" w:color="auto"/>
      </w:divBdr>
    </w:div>
    <w:div w:id="2082826370">
      <w:bodyDiv w:val="1"/>
      <w:marLeft w:val="0"/>
      <w:marRight w:val="0"/>
      <w:marTop w:val="0"/>
      <w:marBottom w:val="0"/>
      <w:divBdr>
        <w:top w:val="none" w:sz="0" w:space="0" w:color="auto"/>
        <w:left w:val="none" w:sz="0" w:space="0" w:color="auto"/>
        <w:bottom w:val="none" w:sz="0" w:space="0" w:color="auto"/>
        <w:right w:val="none" w:sz="0" w:space="0" w:color="auto"/>
      </w:divBdr>
    </w:div>
    <w:div w:id="211833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4F2C5-049E-4EA7-A971-E4B8E897B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2530</Words>
  <Characters>15004</Characters>
  <Application>Microsoft Office Word</Application>
  <DocSecurity>4</DocSecurity>
  <Lines>125</Lines>
  <Paragraphs>34</Paragraphs>
  <ScaleCrop>false</ScaleCrop>
  <HeadingPairs>
    <vt:vector size="2" baseType="variant">
      <vt:variant>
        <vt:lpstr>Titre</vt:lpstr>
      </vt:variant>
      <vt:variant>
        <vt:i4>1</vt:i4>
      </vt:variant>
    </vt:vector>
  </HeadingPairs>
  <TitlesOfParts>
    <vt:vector size="1" baseType="lpstr">
      <vt:lpstr> </vt:lpstr>
    </vt:vector>
  </TitlesOfParts>
  <Company>ETNIC</Company>
  <LinksUpToDate>false</LinksUpToDate>
  <CharactersWithSpaces>17500</CharactersWithSpaces>
  <SharedDoc>false</SharedDoc>
  <HLinks>
    <vt:vector size="30" baseType="variant">
      <vt:variant>
        <vt:i4>7602199</vt:i4>
      </vt:variant>
      <vt:variant>
        <vt:i4>38</vt:i4>
      </vt:variant>
      <vt:variant>
        <vt:i4>0</vt:i4>
      </vt:variant>
      <vt:variant>
        <vt:i4>5</vt:i4>
      </vt:variant>
      <vt:variant>
        <vt:lpwstr>mailto:michel.dury@cfwb.be</vt:lpwstr>
      </vt:variant>
      <vt:variant>
        <vt:lpwstr/>
      </vt:variant>
      <vt:variant>
        <vt:i4>6553617</vt:i4>
      </vt:variant>
      <vt:variant>
        <vt:i4>35</vt:i4>
      </vt:variant>
      <vt:variant>
        <vt:i4>0</vt:i4>
      </vt:variant>
      <vt:variant>
        <vt:i4>5</vt:i4>
      </vt:variant>
      <vt:variant>
        <vt:lpwstr>mailto:gery.decafmeyer@cfwb.be</vt:lpwstr>
      </vt:variant>
      <vt:variant>
        <vt:lpwstr/>
      </vt:variant>
      <vt:variant>
        <vt:i4>1114232</vt:i4>
      </vt:variant>
      <vt:variant>
        <vt:i4>32</vt:i4>
      </vt:variant>
      <vt:variant>
        <vt:i4>0</vt:i4>
      </vt:variant>
      <vt:variant>
        <vt:i4>5</vt:i4>
      </vt:variant>
      <vt:variant>
        <vt:lpwstr>mailto:philippe.plun@cfwb.be</vt:lpwstr>
      </vt:variant>
      <vt:variant>
        <vt:lpwstr/>
      </vt:variant>
      <vt:variant>
        <vt:i4>917620</vt:i4>
      </vt:variant>
      <vt:variant>
        <vt:i4>29</vt:i4>
      </vt:variant>
      <vt:variant>
        <vt:i4>0</vt:i4>
      </vt:variant>
      <vt:variant>
        <vt:i4>5</vt:i4>
      </vt:variant>
      <vt:variant>
        <vt:lpwstr>mailto:.litt@cfwb.be</vt:lpwstr>
      </vt:variant>
      <vt:variant>
        <vt:lpwstr/>
      </vt:variant>
      <vt:variant>
        <vt:i4>3997782</vt:i4>
      </vt:variant>
      <vt:variant>
        <vt:i4>26</vt:i4>
      </vt:variant>
      <vt:variant>
        <vt:i4>0</vt:i4>
      </vt:variant>
      <vt:variant>
        <vt:i4>5</vt:i4>
      </vt:variant>
      <vt:variant>
        <vt:lpwstr>mailto:vincent.winkin@cfwb.be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Dominique ANDRE</dc:creator>
  <cp:keywords/>
  <cp:lastModifiedBy>RAVEZ Nathalie</cp:lastModifiedBy>
  <cp:revision>2</cp:revision>
  <cp:lastPrinted>2020-03-09T15:17:00Z</cp:lastPrinted>
  <dcterms:created xsi:type="dcterms:W3CDTF">2020-03-16T11:36:00Z</dcterms:created>
  <dcterms:modified xsi:type="dcterms:W3CDTF">2020-03-16T11:36:00Z</dcterms:modified>
</cp:coreProperties>
</file>